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«Об исполнении бюджета 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1C3BD2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Кулажское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E7637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55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E7637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628E9" w:rsidRPr="00CC1F45" w:rsidRDefault="007628E9" w:rsidP="0076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пункт 1.3.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плана работы Контрольно-счетной палаты Суражского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Положением «О Контрольно-счетной палате», принятым согласно решения Суражского районного Совета народных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59 от 26.12.2014г., приказа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A00D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о проведении экспертно-аналитического мероприятия. </w:t>
      </w:r>
      <w:proofErr w:type="gramEnd"/>
    </w:p>
    <w:p w:rsidR="007628E9" w:rsidRPr="00A4362C" w:rsidRDefault="007628E9" w:rsidP="0076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муниципального образования 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F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Кулажское</w:t>
      </w:r>
      <w:proofErr w:type="spellEnd"/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36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A4362C">
        <w:rPr>
          <w:rFonts w:ascii="Times New Roman" w:eastAsia="Calibri" w:hAnsi="Times New Roman" w:cs="Times New Roman"/>
          <w:sz w:val="28"/>
          <w:szCs w:val="28"/>
        </w:rPr>
        <w:t>.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FF1FF6">
        <w:rPr>
          <w:rFonts w:ascii="Times New Roman" w:eastAsia="Times New Roman" w:hAnsi="Times New Roman" w:cs="Times New Roman"/>
          <w:sz w:val="28"/>
          <w:szCs w:val="28"/>
        </w:rPr>
        <w:t>Кулажская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 главный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(89</w:t>
      </w:r>
      <w:r w:rsidR="00FF1FF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FF1FF6">
        <w:rPr>
          <w:rFonts w:ascii="Times New Roman" w:eastAsia="Times New Roman" w:hAnsi="Times New Roman" w:cs="Times New Roman"/>
          <w:sz w:val="28"/>
          <w:szCs w:val="28"/>
        </w:rPr>
        <w:t>Кулажская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отчётности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  и отчета об исполнении бюджета </w:t>
      </w:r>
      <w:proofErr w:type="spellStart"/>
      <w:r w:rsidR="00FA00DB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 с требованиями статьи 264.4 Бюджетного кодекса Российской Федерации, пункта 3 части 2 статьи 9 Федерального закона от 07.02.2011 г. № 6-ФЗ «Об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на основании данных внешней проверки годовой бюджетной отчётности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End"/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FF1FF6">
        <w:rPr>
          <w:rFonts w:ascii="Times New Roman" w:eastAsia="Times New Roman" w:hAnsi="Times New Roman" w:cs="Times New Roman"/>
          <w:sz w:val="28"/>
          <w:szCs w:val="28"/>
        </w:rPr>
        <w:t>Кулажское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7628E9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28E9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7628E9" w:rsidRPr="0079507C" w:rsidRDefault="007628E9" w:rsidP="007628E9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77D">
        <w:rPr>
          <w:rFonts w:ascii="Times New Roman" w:eastAsia="Times New Roman" w:hAnsi="Times New Roman" w:cs="Times New Roman"/>
          <w:sz w:val="28"/>
          <w:szCs w:val="28"/>
        </w:rPr>
        <w:t>166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6E777D">
        <w:rPr>
          <w:rFonts w:ascii="Times New Roman" w:eastAsia="Times New Roman" w:hAnsi="Times New Roman" w:cs="Times New Roman"/>
          <w:sz w:val="28"/>
          <w:szCs w:val="28"/>
        </w:rPr>
        <w:t>2299,9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6E777D">
        <w:rPr>
          <w:rFonts w:ascii="Times New Roman" w:eastAsia="Times New Roman" w:hAnsi="Times New Roman" w:cs="Times New Roman"/>
          <w:sz w:val="28"/>
          <w:szCs w:val="28"/>
        </w:rPr>
        <w:t>2803,3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6E777D">
        <w:rPr>
          <w:rFonts w:ascii="Times New Roman" w:eastAsia="Times New Roman" w:hAnsi="Times New Roman" w:cs="Times New Roman"/>
          <w:sz w:val="28"/>
          <w:szCs w:val="28"/>
        </w:rPr>
        <w:t>503,4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7628E9" w:rsidRDefault="007628E9" w:rsidP="00762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39788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B2955">
        <w:rPr>
          <w:rFonts w:ascii="Times New Roman" w:hAnsi="Times New Roman"/>
          <w:sz w:val="28"/>
          <w:szCs w:val="28"/>
        </w:rPr>
        <w:t>18</w:t>
      </w:r>
      <w:r w:rsidRPr="00937CCE">
        <w:rPr>
          <w:rFonts w:ascii="Times New Roman" w:hAnsi="Times New Roman"/>
          <w:sz w:val="28"/>
          <w:szCs w:val="28"/>
        </w:rPr>
        <w:t>.0</w:t>
      </w:r>
      <w:r w:rsidR="000B2955">
        <w:rPr>
          <w:rFonts w:ascii="Times New Roman" w:hAnsi="Times New Roman"/>
          <w:sz w:val="28"/>
          <w:szCs w:val="28"/>
        </w:rPr>
        <w:t>6</w:t>
      </w:r>
      <w:r w:rsidRPr="00937C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 w:rsidR="000B2955">
        <w:rPr>
          <w:rFonts w:ascii="Times New Roman" w:hAnsi="Times New Roman"/>
          <w:sz w:val="28"/>
          <w:szCs w:val="28"/>
        </w:rPr>
        <w:t xml:space="preserve">176,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B295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0B29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.2019 года № </w:t>
      </w:r>
      <w:r w:rsidR="000B2955">
        <w:rPr>
          <w:rFonts w:ascii="Times New Roman" w:hAnsi="Times New Roman"/>
          <w:sz w:val="28"/>
          <w:szCs w:val="28"/>
        </w:rPr>
        <w:t>182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7CCE">
        <w:rPr>
          <w:rFonts w:ascii="Times New Roman" w:hAnsi="Times New Roman"/>
          <w:sz w:val="28"/>
          <w:szCs w:val="28"/>
        </w:rPr>
        <w:t xml:space="preserve">от </w:t>
      </w:r>
      <w:r w:rsidR="00397886">
        <w:rPr>
          <w:rFonts w:ascii="Times New Roman" w:hAnsi="Times New Roman"/>
          <w:sz w:val="28"/>
          <w:szCs w:val="28"/>
        </w:rPr>
        <w:t>17</w:t>
      </w:r>
      <w:r w:rsidRPr="00937CCE">
        <w:rPr>
          <w:rFonts w:ascii="Times New Roman" w:hAnsi="Times New Roman"/>
          <w:sz w:val="28"/>
          <w:szCs w:val="28"/>
        </w:rPr>
        <w:t>.</w:t>
      </w:r>
      <w:r w:rsidR="00397886">
        <w:rPr>
          <w:rFonts w:ascii="Times New Roman" w:hAnsi="Times New Roman"/>
          <w:sz w:val="28"/>
          <w:szCs w:val="28"/>
        </w:rPr>
        <w:t>12</w:t>
      </w:r>
      <w:r w:rsidRPr="00937C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97886">
        <w:rPr>
          <w:rFonts w:ascii="Times New Roman" w:hAnsi="Times New Roman"/>
          <w:sz w:val="28"/>
          <w:szCs w:val="28"/>
        </w:rPr>
        <w:t>35-а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7628E9" w:rsidRPr="00CC1F45" w:rsidRDefault="007628E9" w:rsidP="007628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2126,1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173,8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92,4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2858,6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55,3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102,0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732,5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229,1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145,5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5347B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F24B32">
        <w:rPr>
          <w:rFonts w:ascii="Times New Roman" w:eastAsia="Times New Roman" w:hAnsi="Times New Roman" w:cs="Times New Roman"/>
          <w:sz w:val="28"/>
          <w:szCs w:val="28"/>
        </w:rPr>
        <w:t>2133,8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F24B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F24B32">
        <w:rPr>
          <w:rFonts w:ascii="Times New Roman" w:eastAsia="Times New Roman" w:hAnsi="Times New Roman" w:cs="Times New Roman"/>
          <w:sz w:val="28"/>
          <w:szCs w:val="28"/>
        </w:rPr>
        <w:t>2858,6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F24B32">
        <w:rPr>
          <w:rFonts w:ascii="Times New Roman" w:eastAsia="Times New Roman" w:hAnsi="Times New Roman" w:cs="Times New Roman"/>
          <w:sz w:val="28"/>
          <w:szCs w:val="28"/>
        </w:rPr>
        <w:t>724,7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951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995"/>
        <w:gridCol w:w="1138"/>
        <w:gridCol w:w="1272"/>
        <w:gridCol w:w="965"/>
        <w:gridCol w:w="1418"/>
        <w:gridCol w:w="1556"/>
        <w:gridCol w:w="30"/>
      </w:tblGrid>
      <w:tr w:rsidR="007F6FAC" w:rsidRPr="00CC1F45" w:rsidTr="007628E9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23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C2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C23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C2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23C47" w:rsidRDefault="00DC54C8" w:rsidP="00C23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C2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C2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</w:p>
          <w:p w:rsidR="00DC54C8" w:rsidRPr="00CC1F45" w:rsidRDefault="00DC54C8" w:rsidP="00C23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23C47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C2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C2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628E9">
        <w:trPr>
          <w:trHeight w:val="843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32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CC1F45" w:rsidRDefault="00F24B3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-2164,8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0" w:type="dxa"/>
            <w:vAlign w:val="center"/>
            <w:hideMark/>
          </w:tcPr>
          <w:p w:rsidR="00F24B32" w:rsidRPr="00CC1F45" w:rsidRDefault="00F24B3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32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CC1F45" w:rsidRDefault="00F24B3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4137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30" w:type="dxa"/>
            <w:vAlign w:val="center"/>
            <w:hideMark/>
          </w:tcPr>
          <w:p w:rsidR="00F24B32" w:rsidRPr="00CC1F45" w:rsidRDefault="00F24B3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32" w:rsidRPr="00CC1F45" w:rsidTr="007628E9">
        <w:trPr>
          <w:trHeight w:val="3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CC1F45" w:rsidRDefault="00F24B3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+1018,0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-732,5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32" w:rsidRPr="003878E5" w:rsidRDefault="00F24B32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-724,8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-1742,8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32" w:rsidRPr="00F24B32" w:rsidRDefault="00F24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-71,2</w:t>
            </w:r>
          </w:p>
        </w:tc>
        <w:tc>
          <w:tcPr>
            <w:tcW w:w="30" w:type="dxa"/>
            <w:vAlign w:val="center"/>
            <w:hideMark/>
          </w:tcPr>
          <w:p w:rsidR="00F24B32" w:rsidRPr="00CC1F45" w:rsidRDefault="00F24B3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D76" w:rsidRPr="00CC1F45" w:rsidRDefault="00F14D76" w:rsidP="00F1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52269">
        <w:rPr>
          <w:rFonts w:ascii="Times New Roman" w:eastAsia="Times New Roman" w:hAnsi="Times New Roman" w:cs="Times New Roman"/>
          <w:sz w:val="28"/>
          <w:szCs w:val="28"/>
        </w:rPr>
        <w:t>2164,8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2269">
        <w:rPr>
          <w:rFonts w:ascii="Times New Roman" w:eastAsia="Times New Roman" w:hAnsi="Times New Roman" w:cs="Times New Roman"/>
          <w:sz w:val="28"/>
          <w:szCs w:val="28"/>
        </w:rPr>
        <w:t>49,6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C5226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52269">
        <w:rPr>
          <w:rFonts w:ascii="Times New Roman" w:eastAsia="Times New Roman" w:hAnsi="Times New Roman" w:cs="Times New Roman"/>
          <w:sz w:val="28"/>
          <w:szCs w:val="28"/>
        </w:rPr>
        <w:t>422,0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C52269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14D76" w:rsidRPr="00CC1F45" w:rsidRDefault="00F14D76" w:rsidP="00F14D76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F14D76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100B2F">
        <w:rPr>
          <w:rFonts w:ascii="Times New Roman" w:eastAsia="Times New Roman" w:hAnsi="Times New Roman" w:cs="Times New Roman"/>
          <w:sz w:val="28"/>
          <w:szCs w:val="28"/>
        </w:rPr>
        <w:t>2133,8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</w:t>
      </w:r>
      <w:r w:rsidR="00100B2F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100B2F">
        <w:rPr>
          <w:rFonts w:ascii="Times New Roman" w:eastAsia="Times New Roman" w:hAnsi="Times New Roman" w:cs="Times New Roman"/>
          <w:sz w:val="28"/>
          <w:szCs w:val="28"/>
        </w:rPr>
        <w:t>2164,8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ниже, чем в  2018 году</w:t>
      </w:r>
      <w:r w:rsidR="00FE5F97">
        <w:rPr>
          <w:rFonts w:ascii="Times New Roman" w:eastAsia="Times New Roman" w:hAnsi="Times New Roman" w:cs="Times New Roman"/>
          <w:sz w:val="28"/>
          <w:szCs w:val="28"/>
        </w:rPr>
        <w:t>, в основном за счет отсутствия доходов от продажи материальных и нематериальных активов.</w:t>
      </w:r>
    </w:p>
    <w:p w:rsidR="00F14D76" w:rsidRPr="00CC1F45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64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6"/>
        <w:gridCol w:w="1133"/>
        <w:gridCol w:w="993"/>
        <w:gridCol w:w="843"/>
        <w:gridCol w:w="835"/>
        <w:gridCol w:w="835"/>
        <w:gridCol w:w="986"/>
        <w:gridCol w:w="30"/>
      </w:tblGrid>
      <w:tr w:rsidR="00A20E24" w:rsidRPr="00CC1F45" w:rsidTr="0023745B">
        <w:trPr>
          <w:trHeight w:val="103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E326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3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A20E24" w:rsidRPr="00CC1F45" w:rsidRDefault="00A20E24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E326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3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E326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E3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E3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E326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E3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E3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23745B">
        <w:trPr>
          <w:trHeight w:val="10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1237,5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-2400,3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D55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8F7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32518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1,6 раза</w:t>
            </w:r>
            <w:r w:rsidR="006A429B"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0244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81D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3281D" w:rsidRPr="00CC1F45" w:rsidRDefault="00E3281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81D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D" w:rsidRPr="00CC1F45" w:rsidRDefault="00E3281D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D" w:rsidRDefault="00E3281D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D" w:rsidRDefault="00E3281D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D" w:rsidRDefault="00E3281D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E3281D" w:rsidRPr="00CC1F45" w:rsidRDefault="00E3281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D55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81D" w:rsidRPr="00CC1F45" w:rsidTr="004F7DDC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430AAD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55239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CC1F45" w:rsidRDefault="00E3281D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81D" w:rsidRPr="004F7DDC" w:rsidRDefault="00E3281D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3281D" w:rsidRPr="00CC1F45" w:rsidRDefault="00E3281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A429B" w:rsidRPr="00CC1F45" w:rsidTr="004F7DDC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FA6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 государственной власти,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3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326F86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326F86" w:rsidRDefault="006A429B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326F86" w:rsidRDefault="006A429B" w:rsidP="00F60B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E3281D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-2587,4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9B" w:rsidRPr="00CC1F45" w:rsidTr="004F7DDC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29B" w:rsidRPr="00C0531E" w:rsidRDefault="006A429B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9B" w:rsidRPr="005B595D" w:rsidRDefault="006A429B" w:rsidP="00430AAD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9B" w:rsidRPr="005B595D" w:rsidRDefault="006A429B" w:rsidP="0055239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9B" w:rsidRPr="005B595D" w:rsidRDefault="006A429B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9B" w:rsidRPr="004F7DDC" w:rsidRDefault="00632518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5,5 раза</w:t>
            </w:r>
          </w:p>
        </w:tc>
        <w:tc>
          <w:tcPr>
            <w:tcW w:w="30" w:type="dxa"/>
            <w:vAlign w:val="center"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A429B" w:rsidRPr="00CC1F45" w:rsidTr="004F7DDC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29B" w:rsidRPr="00CC1F45" w:rsidRDefault="006A429B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045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E4A56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A429B" w:rsidRPr="00CC1F45" w:rsidTr="004F7DDC">
        <w:trPr>
          <w:trHeight w:val="1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29B" w:rsidRPr="00CC1F45" w:rsidRDefault="006A429B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E4A56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32518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1,4 раза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A429B" w:rsidRPr="00CC1F45" w:rsidTr="004F7DDC">
        <w:trPr>
          <w:trHeight w:val="1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29B" w:rsidRPr="00CC1F45" w:rsidRDefault="006A429B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E4A56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E3281D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E3281D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A429B" w:rsidRPr="00CC1F45" w:rsidTr="004F7DDC">
        <w:trPr>
          <w:trHeight w:val="2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29B" w:rsidRPr="00CC1F45" w:rsidRDefault="006A429B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E4A56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429B" w:rsidRPr="00CC1F45" w:rsidTr="004F7DDC">
        <w:trPr>
          <w:trHeight w:val="27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CC1F45" w:rsidRDefault="006A429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-2164,8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9B" w:rsidRPr="004F7DDC" w:rsidRDefault="006A429B" w:rsidP="004F7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30" w:type="dxa"/>
            <w:vAlign w:val="center"/>
            <w:hideMark/>
          </w:tcPr>
          <w:p w:rsidR="006A429B" w:rsidRPr="00CC1F45" w:rsidRDefault="006A429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423" w:rsidRPr="00CC1F45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1237,5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2400,3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34,0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lastRenderedPageBreak/>
        <w:t>58,0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55,2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- 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79,0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87,4%, в группе безвозмездных поступлений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91,2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381423" w:rsidRPr="00CC1F45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1178,4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,6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170,1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116,9%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увеличения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60D7" w:rsidRPr="009260D7">
        <w:rPr>
          <w:rFonts w:ascii="Times New Roman" w:eastAsia="Times New Roman" w:hAnsi="Times New Roman" w:cs="Times New Roman"/>
          <w:sz w:val="28"/>
          <w:szCs w:val="28"/>
        </w:rPr>
        <w:t>алог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60D7" w:rsidRPr="009260D7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1,6 </w:t>
      </w:r>
      <w:r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423" w:rsidRPr="00CC1F45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931,1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на 106,4 тыс. рублей (112,9%)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в 2018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79,0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142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Исполнение составило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96,7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 или 105,6% от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Pr="002E095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физических лиц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57,7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в 1,6 раза)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148,3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12,6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59,1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2570,4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в 44,5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счет отсутствия доходов от продажи земельных участков, находящихся в собственности сельских поселений.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Удельный вес 2,8% в группе собственных доходов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12,5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или 104,2% от плановых назначений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21,1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(составляет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37,2</w:t>
      </w:r>
      <w:r>
        <w:rPr>
          <w:rFonts w:ascii="Times New Roman" w:eastAsia="Times New Roman" w:hAnsi="Times New Roman" w:cs="Times New Roman"/>
          <w:sz w:val="28"/>
          <w:szCs w:val="28"/>
        </w:rPr>
        <w:t>%) ниже уровня 2018 года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 удельный вес в группе неналоговых доходов –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21,2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A1CC2" w:rsidRDefault="00381423" w:rsidP="00AA1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поступили в объеме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46,6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38,1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выше показателя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 или в 5,5 раза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CC2" w:rsidRP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Имеют наибольший удельный вес в группе неналоговых доходов – 78,8%</w:t>
      </w:r>
    </w:p>
    <w:p w:rsidR="00381423" w:rsidRPr="00CC1F45" w:rsidRDefault="00381423" w:rsidP="0038142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>896,3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 xml:space="preserve">235,5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>, или в 1,4 раза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03467F">
        <w:rPr>
          <w:rFonts w:ascii="Times New Roman" w:eastAsia="Times New Roman" w:hAnsi="Times New Roman" w:cs="Times New Roman"/>
          <w:spacing w:val="-8"/>
          <w:sz w:val="28"/>
          <w:szCs w:val="28"/>
        </w:rPr>
        <w:t>817,0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03467F">
        <w:rPr>
          <w:rFonts w:ascii="Times New Roman" w:eastAsia="Times New Roman" w:hAnsi="Times New Roman" w:cs="Times New Roman"/>
          <w:spacing w:val="-8"/>
          <w:sz w:val="28"/>
          <w:szCs w:val="28"/>
        </w:rPr>
        <w:t>91,2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>в 1,4 раза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79,3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 за 201</w:t>
      </w:r>
      <w:r w:rsidR="001D024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 w:rsidR="001D02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«Общегосударственные вопросы» - </w:t>
      </w:r>
      <w:r w:rsidR="00D24CC4">
        <w:rPr>
          <w:rFonts w:ascii="Times New Roman" w:eastAsia="Times New Roman" w:hAnsi="Times New Roman" w:cs="Times New Roman"/>
          <w:spacing w:val="4"/>
          <w:sz w:val="28"/>
        </w:rPr>
        <w:t>70,1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C1F45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AC62E3">
        <w:rPr>
          <w:rFonts w:ascii="Times New Roman" w:eastAsia="Times New Roman" w:hAnsi="Times New Roman" w:cs="Times New Roman"/>
          <w:spacing w:val="4"/>
          <w:sz w:val="28"/>
        </w:rPr>
        <w:t>04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D24CC4">
        <w:rPr>
          <w:rFonts w:ascii="Times New Roman" w:eastAsia="Times New Roman" w:hAnsi="Times New Roman" w:cs="Times New Roman"/>
          <w:spacing w:val="4"/>
          <w:sz w:val="28"/>
        </w:rPr>
        <w:t>1,1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653"/>
        <w:gridCol w:w="1206"/>
        <w:gridCol w:w="992"/>
        <w:gridCol w:w="1399"/>
        <w:gridCol w:w="1276"/>
      </w:tblGrid>
      <w:tr w:rsidR="008473D0" w:rsidRPr="00CC1F45" w:rsidTr="00363F1B">
        <w:trPr>
          <w:trHeight w:val="45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330A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201</w:t>
            </w:r>
            <w:r w:rsidR="00330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330A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201</w:t>
            </w:r>
            <w:r w:rsidR="00330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363F1B">
        <w:trPr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1D024F" w:rsidRPr="00CC1F45" w:rsidTr="00363F1B">
        <w:trPr>
          <w:trHeight w:val="20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430AAD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2129,2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2004,8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</w:tr>
      <w:tr w:rsidR="001D024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1D024F" w:rsidRPr="00CC1F45" w:rsidTr="00363F1B">
        <w:trPr>
          <w:trHeight w:val="2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024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1D024F" w:rsidRPr="00CC1F45" w:rsidTr="00363F1B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1072,6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1D024F" w:rsidRPr="00CC1F45" w:rsidTr="00363F1B">
        <w:trPr>
          <w:trHeight w:val="1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430AAD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2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024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3280,6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 w:rsidP="00430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24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4F" w:rsidRPr="001D024F" w:rsidRDefault="001D024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2858,6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4F" w:rsidRPr="001D024F" w:rsidRDefault="001D0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24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9A2FCF" w:rsidRDefault="009A2FCF" w:rsidP="009A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таблицы существенного изменения в структуре бюджета поселения в отчетном году в сравнении с предыдущим - не наблюдается</w:t>
      </w:r>
      <w:r w:rsidR="00265888">
        <w:rPr>
          <w:rFonts w:ascii="Times New Roman" w:eastAsia="Times New Roman" w:hAnsi="Times New Roman" w:cs="Times New Roman"/>
          <w:sz w:val="28"/>
          <w:szCs w:val="28"/>
        </w:rPr>
        <w:t xml:space="preserve">, однако по разделу 05 «Жилищно-коммунальное хозяйство»  снижение в сравнении с предыдущим годом 6,7 </w:t>
      </w:r>
      <w:proofErr w:type="gramStart"/>
      <w:r w:rsidR="00265888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265888">
        <w:rPr>
          <w:rFonts w:ascii="Times New Roman" w:eastAsia="Times New Roman" w:hAnsi="Times New Roman" w:cs="Times New Roman"/>
          <w:sz w:val="28"/>
          <w:szCs w:val="28"/>
        </w:rPr>
        <w:t xml:space="preserve"> пункта.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E3B" w:rsidRDefault="003B5E3B" w:rsidP="003B5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поселения за 2019 год исполнены в сумме 2858,6 тыс. рублей, что составляет 100,0% исполнения по всем разделам и подразделам. </w:t>
      </w:r>
    </w:p>
    <w:p w:rsidR="003B5E3B" w:rsidRDefault="003B5E3B" w:rsidP="003B5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прошлым годом расходы на 422,0 тыс. рублей ниже, чем в 2018 году, и составляют 87,1%.</w:t>
      </w:r>
    </w:p>
    <w:p w:rsidR="003B5E3B" w:rsidRPr="00171DD5" w:rsidRDefault="003B5E3B" w:rsidP="003B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EA2BBF" w:rsidRDefault="003B5E3B" w:rsidP="003B5E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90"/>
        <w:gridCol w:w="1025"/>
        <w:gridCol w:w="806"/>
        <w:gridCol w:w="851"/>
        <w:gridCol w:w="1039"/>
        <w:gridCol w:w="883"/>
        <w:gridCol w:w="883"/>
        <w:gridCol w:w="30"/>
      </w:tblGrid>
      <w:tr w:rsidR="00880D3B" w:rsidRPr="00880D3B" w:rsidTr="00BD4960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FC6B80" w:rsidRDefault="00846C96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E031EA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FC6B80" w:rsidRDefault="00846C96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FC6B80" w:rsidRDefault="00846C96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E031EA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846C96" w:rsidRPr="00FC6B80" w:rsidRDefault="00846C96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201</w:t>
            </w:r>
            <w:r w:rsidR="00E031EA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к 201</w:t>
            </w:r>
            <w:r w:rsidR="00E031EA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846C96" w:rsidRPr="00FC6B80" w:rsidRDefault="00846C96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201</w:t>
            </w:r>
            <w:r w:rsidR="00E031EA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к 201</w:t>
            </w:r>
            <w:r w:rsidR="00E031EA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D3B" w:rsidRPr="00880D3B" w:rsidTr="00BD4960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AA9" w:rsidRPr="00CC1F45" w:rsidRDefault="00CF7AA9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334856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3B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3B" w:rsidRPr="00CC1F45" w:rsidTr="00CF7AA9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F173B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1A54C5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5,3 раза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AA9" w:rsidRPr="00CC1F45" w:rsidRDefault="00CF7AA9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A9" w:rsidRPr="00CF7AA9" w:rsidRDefault="001A54C5" w:rsidP="00CF7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5,3 раза</w:t>
            </w:r>
          </w:p>
        </w:tc>
        <w:tc>
          <w:tcPr>
            <w:tcW w:w="30" w:type="dxa"/>
            <w:vAlign w:val="center"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DE" w:rsidRPr="00CC1F45" w:rsidTr="00867ED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867EDE" w:rsidRPr="00CC1F45" w:rsidRDefault="00867ED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30" w:type="dxa"/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DE" w:rsidRPr="00CC1F45" w:rsidTr="00867EDE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DE" w:rsidRPr="00CC1F45" w:rsidRDefault="00867ED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867EDE" w:rsidRPr="00CC1F45" w:rsidRDefault="00867ED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DE" w:rsidRPr="00CC1F45" w:rsidTr="00867EDE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F7AA9" w:rsidRDefault="00867EDE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F7AA9" w:rsidRDefault="00867EDE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F7AA9" w:rsidRDefault="00867EDE" w:rsidP="00430A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DE" w:rsidRPr="00CC1F45" w:rsidTr="00867EDE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CC1F45" w:rsidRDefault="00867EDE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-297,5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DE" w:rsidRPr="00867EDE" w:rsidRDefault="00867EDE" w:rsidP="00867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0" w:type="dxa"/>
            <w:vAlign w:val="center"/>
            <w:hideMark/>
          </w:tcPr>
          <w:p w:rsidR="00867EDE" w:rsidRPr="00CC1F45" w:rsidRDefault="00867ED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3B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3B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3B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3B" w:rsidRPr="00CC1F45" w:rsidRDefault="002F173B" w:rsidP="00430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F173B" w:rsidRPr="00CC1F45" w:rsidRDefault="002F173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AA9" w:rsidRPr="00CC1F45" w:rsidTr="00CF7AA9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C1F45" w:rsidRDefault="00CF7AA9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2858,6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-422,0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A9" w:rsidRPr="00CF7AA9" w:rsidRDefault="00CF7AA9" w:rsidP="00CF7A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30" w:type="dxa"/>
            <w:vAlign w:val="center"/>
            <w:hideMark/>
          </w:tcPr>
          <w:p w:rsidR="00CF7AA9" w:rsidRPr="00CC1F45" w:rsidRDefault="00CF7AA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2004,8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124,4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94,2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70,1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02 «Функционирование высшего должностного лица субъекта Российской Федерации и муниципального образования» исполнение составило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368,2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79,9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82,2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сельского поселения.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1207,2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172,2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116,6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93,8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800,3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308,1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7C3B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C3B" w:rsidRPr="00CC1F45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исполнение составило </w:t>
      </w:r>
      <w:r w:rsidR="001F3625">
        <w:rPr>
          <w:rFonts w:ascii="Times New Roman" w:eastAsia="Times New Roman" w:hAnsi="Times New Roman" w:cs="Times New Roman"/>
          <w:sz w:val="28"/>
          <w:szCs w:val="28"/>
        </w:rPr>
        <w:t>42,9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Расходы исполнены на проведение выборов.  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>386,0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>259,6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>или в 1,7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558F8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>ов в отчетном году не производилось.</w:t>
      </w:r>
    </w:p>
    <w:p w:rsidR="004A7A4B" w:rsidRPr="004A7A4B" w:rsidRDefault="004A7A4B" w:rsidP="004A7A4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A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4A7A4B">
        <w:rPr>
          <w:rFonts w:ascii="Times New Roman" w:eastAsia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1D2478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Указанные расходы имеют удельный вес </w:t>
      </w:r>
      <w:r w:rsidR="001D2478">
        <w:rPr>
          <w:rFonts w:ascii="Times New Roman" w:eastAsia="Times New Roman" w:hAnsi="Times New Roman" w:cs="Times New Roman"/>
          <w:sz w:val="28"/>
          <w:szCs w:val="28"/>
        </w:rPr>
        <w:t>1,1%</w:t>
      </w: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расходов бюджета поселения и исполнены на уровне прошлого года. </w:t>
      </w:r>
      <w:r w:rsidRPr="004A7A4B">
        <w:rPr>
          <w:rFonts w:ascii="Times New Roman" w:eastAsia="Times New Roman" w:hAnsi="Times New Roman" w:cs="Times New Roman"/>
          <w:bCs/>
          <w:sz w:val="28"/>
          <w:szCs w:val="28"/>
        </w:rPr>
        <w:t>Расходы отражены по подразделу 0412 «Другие вопросы в области национальной экономики» на осуществление межевания земельных участков.</w:t>
      </w:r>
      <w:r w:rsidR="001D24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сравнении с прошлым годом расходы увеличились на 25,5 тыс. рублей,  или в 5,3 раза.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0928A5">
        <w:rPr>
          <w:rFonts w:ascii="Times New Roman" w:eastAsia="Times New Roman" w:hAnsi="Times New Roman" w:cs="Times New Roman"/>
          <w:sz w:val="28"/>
          <w:szCs w:val="28"/>
        </w:rPr>
        <w:t>743,0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8F6290">
        <w:rPr>
          <w:rFonts w:ascii="Times New Roman" w:eastAsia="Times New Roman" w:hAnsi="Times New Roman" w:cs="Times New Roman"/>
          <w:sz w:val="28"/>
          <w:szCs w:val="28"/>
        </w:rPr>
        <w:t>366,6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8F6290">
        <w:rPr>
          <w:rFonts w:ascii="Times New Roman" w:eastAsia="Times New Roman" w:hAnsi="Times New Roman" w:cs="Times New Roman"/>
          <w:sz w:val="28"/>
          <w:szCs w:val="28"/>
        </w:rPr>
        <w:t>177,8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8F6290">
        <w:rPr>
          <w:rFonts w:ascii="Times New Roman" w:eastAsia="Times New Roman" w:hAnsi="Times New Roman" w:cs="Times New Roman"/>
          <w:sz w:val="28"/>
          <w:szCs w:val="28"/>
        </w:rPr>
        <w:t>198,7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3C7C3B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0928A5">
        <w:rPr>
          <w:rFonts w:ascii="Times New Roman" w:eastAsia="Times New Roman" w:hAnsi="Times New Roman" w:cs="Times New Roman"/>
          <w:sz w:val="28"/>
          <w:szCs w:val="28"/>
        </w:rPr>
        <w:t>26,0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62C3A">
        <w:rPr>
          <w:rFonts w:ascii="Times New Roman" w:eastAsia="Times New Roman" w:hAnsi="Times New Roman" w:cs="Times New Roman"/>
          <w:sz w:val="28"/>
          <w:szCs w:val="28"/>
        </w:rPr>
        <w:t>329,6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</w:t>
      </w:r>
      <w:r w:rsidR="00762C3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C3A">
        <w:rPr>
          <w:rFonts w:ascii="Times New Roman" w:eastAsia="Times New Roman" w:hAnsi="Times New Roman" w:cs="Times New Roman"/>
          <w:sz w:val="28"/>
          <w:szCs w:val="28"/>
        </w:rPr>
        <w:t>69,3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7C3B" w:rsidRDefault="003C7C3B" w:rsidP="003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производились</w:t>
      </w:r>
    </w:p>
    <w:p w:rsidR="003C7C3B" w:rsidRPr="0060355D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3C7C3B" w:rsidRPr="00CC1F45" w:rsidRDefault="003C7C3B" w:rsidP="003C7C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3C7C3B" w:rsidRPr="00100C38" w:rsidTr="00430AAD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D4632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</w:tr>
      <w:tr w:rsidR="007D4632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-186,6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</w:tr>
      <w:tr w:rsidR="007D4632" w:rsidRPr="00100C38" w:rsidTr="00430AAD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7D4632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D4632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632" w:rsidRPr="002F16C1" w:rsidRDefault="006A32F4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632" w:rsidRPr="007D4632" w:rsidRDefault="006A3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D4632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286,8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7D4632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6A32F4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6A3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4632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110B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-162,7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32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7D4632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32" w:rsidRPr="00100C38" w:rsidRDefault="007D4632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2F16C1" w:rsidRDefault="007D4632" w:rsidP="00430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632">
              <w:rPr>
                <w:rFonts w:ascii="Times New Roman" w:hAnsi="Times New Roman" w:cs="Times New Roman"/>
                <w:b/>
                <w:bCs/>
                <w:color w:val="000000"/>
              </w:rPr>
              <w:t>-422,0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632">
              <w:rPr>
                <w:rFonts w:ascii="Times New Roman" w:hAnsi="Times New Roman" w:cs="Times New Roman"/>
                <w:b/>
                <w:bCs/>
                <w:color w:val="000000"/>
              </w:rPr>
              <w:t>87,1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7D4632" w:rsidRPr="007D4632" w:rsidRDefault="007D4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632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3C7C3B" w:rsidRPr="00BA63C7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9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оплату труда и начисления на выплату по оплате труда (статьи 211, 212, 213) составили  </w:t>
      </w:r>
      <w:r w:rsidR="00870A05">
        <w:rPr>
          <w:rFonts w:ascii="Times New Roman" w:eastAsia="Times New Roman" w:hAnsi="Times New Roman" w:cs="Times New Roman"/>
          <w:sz w:val="28"/>
          <w:szCs w:val="28"/>
        </w:rPr>
        <w:t>1341,6</w:t>
      </w:r>
      <w:r w:rsidRPr="002719E1">
        <w:rPr>
          <w:rFonts w:ascii="Times New Roman" w:eastAsia="Times New Roman" w:hAnsi="Times New Roman" w:cs="Times New Roman"/>
          <w:sz w:val="28"/>
          <w:szCs w:val="28"/>
        </w:rPr>
        <w:t>  тыс. рублей, и 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наибольший удельный вес </w:t>
      </w:r>
      <w:r w:rsidR="00870A05">
        <w:rPr>
          <w:rFonts w:ascii="Times New Roman" w:eastAsia="Times New Roman" w:hAnsi="Times New Roman" w:cs="Times New Roman"/>
          <w:sz w:val="28"/>
          <w:szCs w:val="28"/>
        </w:rPr>
        <w:t>46,9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бюджета. По сравнению с 2018 годом расходы на заработную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лату с начислениями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55,6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10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1252,4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43,8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2019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186,6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13,0</w:t>
      </w:r>
      <w:r>
        <w:rPr>
          <w:rFonts w:ascii="Times New Roman" w:eastAsia="Times New Roman" w:hAnsi="Times New Roman" w:cs="Times New Roman"/>
          <w:sz w:val="28"/>
          <w:szCs w:val="28"/>
        </w:rPr>
        <w:t>%) 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042D39">
        <w:rPr>
          <w:rFonts w:ascii="Times New Roman" w:eastAsia="Times New Roman" w:hAnsi="Times New Roman" w:cs="Times New Roman"/>
          <w:color w:val="000000"/>
          <w:sz w:val="28"/>
          <w:szCs w:val="28"/>
        </w:rPr>
        <w:t>216,2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меньшившись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162,7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>в 1,7 раза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proofErr w:type="gramStart"/>
      <w:r w:rsidRPr="004977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3E69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3E6942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3E6942"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ри оценке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исполнения бюджета </w:t>
      </w:r>
      <w:proofErr w:type="spellStart"/>
      <w:r w:rsidR="003E6942">
        <w:rPr>
          <w:rFonts w:ascii="Times New Roman" w:eastAsia="Times New Roman" w:hAnsi="Times New Roman" w:cs="Times New Roman"/>
          <w:b/>
          <w:i/>
          <w:sz w:val="28"/>
          <w:szCs w:val="28"/>
        </w:rPr>
        <w:t>Кулажского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</w:t>
      </w:r>
      <w:r w:rsidR="003E6942">
        <w:rPr>
          <w:rFonts w:ascii="Times New Roman" w:eastAsia="Times New Roman" w:hAnsi="Times New Roman" w:cs="Times New Roman"/>
          <w:b/>
          <w:i/>
          <w:sz w:val="28"/>
          <w:szCs w:val="28"/>
        </w:rPr>
        <w:t>3,2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3E6942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3E6942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38708A" w:rsidRPr="00CC1F45" w:rsidRDefault="0038708A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1C3BD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166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1C3BD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в сумме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503,4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- остатки на счету бюджета.</w:t>
      </w:r>
    </w:p>
    <w:p w:rsidR="0038708A" w:rsidRPr="00CC1F45" w:rsidRDefault="0038708A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913FD7">
        <w:rPr>
          <w:rFonts w:ascii="Times New Roman" w:hAnsi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732,5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D61A7" w:rsidRDefault="0038708A" w:rsidP="00D3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1C3BD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724,8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36B81" w:rsidRPr="00FD61A7" w:rsidRDefault="00736B81" w:rsidP="00342F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1074,0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>
        <w:rPr>
          <w:rFonts w:ascii="Times New Roman" w:eastAsia="Times New Roman" w:hAnsi="Times New Roman" w:cs="Times New Roman"/>
          <w:sz w:val="28"/>
          <w:szCs w:val="28"/>
        </w:rPr>
        <w:t>724,8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. На 01.01.2020 года остаток на счете составил 349,1 тыс. рублей.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9846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3A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9846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612">
        <w:rPr>
          <w:rFonts w:ascii="Times New Roman" w:eastAsia="Times New Roman" w:hAnsi="Times New Roman" w:cs="Times New Roman"/>
          <w:sz w:val="28"/>
          <w:szCs w:val="28"/>
        </w:rPr>
        <w:t>166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9846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98461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201</w:t>
      </w:r>
      <w:r w:rsidR="00C47B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7C1E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2447,0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7C1E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2858,6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B67183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0A5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A5D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0A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0A5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0A5D98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0A5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0A5D98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CC1F45" w:rsidRDefault="000A5D9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77391C" w:rsidRDefault="000A5D98" w:rsidP="000A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D98" w:rsidRPr="005A6EC4" w:rsidRDefault="000A5D98" w:rsidP="0043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5A6EC4" w:rsidRDefault="000A5D98" w:rsidP="0043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5A6EC4" w:rsidRDefault="000A5D98" w:rsidP="003B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CC1F45" w:rsidRDefault="000A5D98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A5D98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CC1F45" w:rsidRDefault="000A5D9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77391C" w:rsidRDefault="000A5D98" w:rsidP="000A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D98" w:rsidRPr="005A6EC4" w:rsidRDefault="000A5D98" w:rsidP="0043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5A6EC4" w:rsidRDefault="000A5D98" w:rsidP="0043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5A6EC4" w:rsidRDefault="000A5D98" w:rsidP="00EE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CC1F45" w:rsidRDefault="000A5D98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A5D98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CC1F45" w:rsidRDefault="000A5D9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CC1F45" w:rsidRDefault="000A5D98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D98" w:rsidRPr="005A6EC4" w:rsidRDefault="000A5D98" w:rsidP="00430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5A6EC4" w:rsidRDefault="000A5D98" w:rsidP="00430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5A6EC4" w:rsidRDefault="000A5D98" w:rsidP="003B7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D98" w:rsidRPr="00CC1F45" w:rsidRDefault="000A5D98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201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снизились на 385,0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13,6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Pr="007C1E60" w:rsidRDefault="003F5B97" w:rsidP="00622C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представлена «Оценка эффективности реализации программ 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Кулажского</w:t>
      </w:r>
      <w:proofErr w:type="spellEnd"/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260FCF" w:rsidRPr="00CC1F45" w:rsidRDefault="00260FCF" w:rsidP="00260FC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260FCF" w:rsidRDefault="00260FCF" w:rsidP="0026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60FCF" w:rsidRPr="00091852" w:rsidRDefault="00260FCF" w:rsidP="0026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340,7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341,5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237,6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>103,9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260FCF" w:rsidRPr="00091852" w:rsidRDefault="00260FCF" w:rsidP="0026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0A5D98">
        <w:rPr>
          <w:rFonts w:ascii="Times New Roman" w:eastAsia="Times New Roman" w:hAnsi="Times New Roman" w:cs="Times New Roman"/>
          <w:spacing w:val="-6"/>
          <w:sz w:val="28"/>
          <w:szCs w:val="28"/>
        </w:rPr>
        <w:t>237,6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260FCF" w:rsidRPr="00091852" w:rsidRDefault="00260FCF" w:rsidP="00260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0A5D98">
        <w:rPr>
          <w:rFonts w:ascii="Times New Roman" w:eastAsia="Times New Roman" w:hAnsi="Times New Roman" w:cs="Times New Roman"/>
          <w:spacing w:val="-6"/>
          <w:sz w:val="28"/>
          <w:szCs w:val="28"/>
        </w:rPr>
        <w:t>103,9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260FCF" w:rsidRPr="00091852" w:rsidRDefault="00260FCF" w:rsidP="0026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247368">
        <w:rPr>
          <w:rFonts w:ascii="Times New Roman" w:eastAsia="Times New Roman" w:hAnsi="Times New Roman" w:cs="Times New Roman"/>
          <w:sz w:val="28"/>
          <w:szCs w:val="28"/>
        </w:rPr>
        <w:t>492,7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247368">
        <w:rPr>
          <w:rFonts w:ascii="Times New Roman" w:eastAsia="Times New Roman" w:hAnsi="Times New Roman" w:cs="Times New Roman"/>
          <w:spacing w:val="-4"/>
          <w:sz w:val="28"/>
          <w:szCs w:val="28"/>
        </w:rPr>
        <w:t>117,8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68">
        <w:rPr>
          <w:rFonts w:ascii="Times New Roman" w:eastAsia="Times New Roman" w:hAnsi="Times New Roman" w:cs="Times New Roman"/>
          <w:sz w:val="28"/>
          <w:szCs w:val="28"/>
        </w:rPr>
        <w:t>610,5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260FCF" w:rsidRPr="00091852" w:rsidRDefault="00260FCF" w:rsidP="00260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7565F0">
        <w:rPr>
          <w:rFonts w:ascii="Times New Roman" w:eastAsia="Calibri" w:hAnsi="Times New Roman" w:cs="Times New Roman"/>
          <w:sz w:val="28"/>
          <w:szCs w:val="28"/>
          <w:lang w:eastAsia="en-US"/>
        </w:rPr>
        <w:t>2858,6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7565F0">
        <w:rPr>
          <w:rFonts w:ascii="Times New Roman" w:eastAsia="Calibri" w:hAnsi="Times New Roman" w:cs="Times New Roman"/>
          <w:sz w:val="28"/>
          <w:szCs w:val="28"/>
          <w:lang w:eastAsia="en-US"/>
        </w:rPr>
        <w:t>2858,6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260FCF" w:rsidRPr="00FF0126" w:rsidRDefault="00260FCF" w:rsidP="00260F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260FCF" w:rsidRPr="00FF0CF0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2A53F6" w:rsidRPr="007C1E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Кулажско</w:t>
      </w:r>
      <w:r w:rsidR="002A53F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B566F1">
        <w:rPr>
          <w:rFonts w:ascii="Times New Roman" w:eastAsia="Times New Roman" w:hAnsi="Times New Roman" w:cs="Times New Roman"/>
          <w:sz w:val="28"/>
          <w:szCs w:val="28"/>
        </w:rPr>
        <w:t>25507,7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B566F1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рубле.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B566F1">
        <w:rPr>
          <w:rFonts w:ascii="Times New Roman" w:eastAsia="Times New Roman" w:hAnsi="Times New Roman" w:cs="Times New Roman"/>
          <w:sz w:val="28"/>
          <w:szCs w:val="28"/>
        </w:rPr>
        <w:t>25507,7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B566F1">
        <w:rPr>
          <w:rFonts w:ascii="Times New Roman" w:eastAsia="Times New Roman" w:hAnsi="Times New Roman" w:cs="Times New Roman"/>
          <w:sz w:val="28"/>
          <w:szCs w:val="28"/>
        </w:rPr>
        <w:t>57,6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9459EA" w:rsidRPr="00FF0126" w:rsidRDefault="009459EA" w:rsidP="009459EA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A71DD5">
        <w:rPr>
          <w:rFonts w:ascii="Times New Roman" w:eastAsia="Times New Roman" w:hAnsi="Times New Roman" w:cs="Times New Roman"/>
          <w:sz w:val="28"/>
          <w:szCs w:val="28"/>
        </w:rPr>
        <w:t>216,2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A71DD5">
        <w:rPr>
          <w:rFonts w:ascii="Times New Roman" w:eastAsia="Times New Roman" w:hAnsi="Times New Roman" w:cs="Times New Roman"/>
          <w:sz w:val="28"/>
          <w:szCs w:val="28"/>
        </w:rPr>
        <w:t>216,2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260FCF" w:rsidRPr="003A26D4" w:rsidRDefault="00260FCF" w:rsidP="00260FC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2A53F6">
        <w:rPr>
          <w:rFonts w:ascii="Times New Roman" w:eastAsia="Times New Roman" w:hAnsi="Times New Roman" w:cs="Times New Roman"/>
          <w:sz w:val="28"/>
          <w:szCs w:val="28"/>
        </w:rPr>
        <w:t>1256,5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 w:rsidR="002A53F6">
        <w:rPr>
          <w:rFonts w:ascii="Times New Roman" w:eastAsia="Times New Roman" w:hAnsi="Times New Roman" w:cs="Times New Roman"/>
          <w:sz w:val="28"/>
          <w:szCs w:val="28"/>
        </w:rPr>
        <w:t xml:space="preserve">Выбыло недвижимое имущество казны на суму 3171,00 тыс. рублей и амортизация на эту же сумму (безвозмездная передача  теплотрассы департаменту ТЭК и ЖКХ).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260FCF" w:rsidRPr="00174B58" w:rsidRDefault="00260FCF" w:rsidP="00260FCF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0931D7" w:rsidRPr="00FD61A7" w:rsidRDefault="00260FCF" w:rsidP="000931D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статок средств на едином счете в органе Федерального казначейства 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лял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1074,0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724,8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. На 01.01.2020 года остаток на счете составил 349,1 тыс. рублей.</w:t>
      </w:r>
    </w:p>
    <w:p w:rsidR="00CC1F45" w:rsidRPr="00CC1F45" w:rsidRDefault="00CC1F45" w:rsidP="00CC1F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CA0C8F" w:rsidRPr="00CC1F4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CA0C8F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CA0C8F" w:rsidRPr="00CC1F4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для внешней проверки годовая бухгалтерская отчётность главного администратора достоверно отражает его финансовое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A0C8F" w:rsidRPr="00B6225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CA0C8F" w:rsidRPr="00B62255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CA0C8F" w:rsidRPr="00CC1F4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8" w:anchor="sub_503121" w:history="1">
        <w:r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CA0C8F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CA0C8F" w:rsidRPr="00FF23CE" w:rsidRDefault="00CA0C8F" w:rsidP="00CA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18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представленная к проверке бухгалтерская отчетность </w:t>
      </w:r>
      <w:r w:rsidRPr="00FF23CE">
        <w:rPr>
          <w:rFonts w:ascii="Times New Roman" w:eastAsia="Times New Roman" w:hAnsi="Times New Roman" w:cs="Times New Roman"/>
          <w:b/>
          <w:sz w:val="28"/>
          <w:szCs w:val="28"/>
        </w:rPr>
        <w:t>не в полной мере соответствует требованиям Инструкции №191н</w:t>
      </w:r>
      <w:r w:rsidRPr="00F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FF23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0C8F" w:rsidRDefault="00CA0C8F" w:rsidP="00CA0C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инвентаризаций </w:t>
      </w:r>
      <w:hyperlink r:id="rId9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0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CA0C8F" w:rsidRPr="00AF0270" w:rsidRDefault="00CA0C8F" w:rsidP="00CA0C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 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0503161  «</w:t>
      </w:r>
      <w:r w:rsidRPr="00AF0270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CA0C8F" w:rsidRDefault="00CA0C8F" w:rsidP="00CA0C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C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CA0C8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>0503160) представлены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 xml:space="preserve"> «Сведения о мерах по повышению эффективности расходования бюджетных средств» таблица 2, тогда как такая информация в силу </w:t>
      </w:r>
      <w:hyperlink r:id="rId11" w:history="1">
        <w:r w:rsidRPr="00E573A7">
          <w:rPr>
            <w:rFonts w:ascii="Times New Roman" w:eastAsia="Times New Roman" w:hAnsi="Times New Roman" w:cs="Times New Roman"/>
            <w:sz w:val="28"/>
            <w:szCs w:val="28"/>
          </w:rPr>
          <w:t>Приказа</w:t>
        </w:r>
      </w:hyperlink>
      <w:r w:rsidRPr="00CA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Минфина России от 02.11.2017 N 176н раскрывается в 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Разделе 2 "Результаты деятельности субъекта бюджетной отчетности" пояснительной записки</w:t>
      </w:r>
      <w:r w:rsidR="001E7C64">
        <w:rPr>
          <w:rFonts w:ascii="Times New Roman" w:eastAsia="Times New Roman" w:hAnsi="Times New Roman" w:cs="Times New Roman"/>
          <w:sz w:val="28"/>
          <w:szCs w:val="28"/>
        </w:rPr>
        <w:t xml:space="preserve"> (ф. 0503160)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3E6" w:rsidRDefault="001043E6" w:rsidP="0010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 xml:space="preserve">в нарушение пункта 152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пояснительной записки (ф.</w:t>
      </w:r>
      <w:r w:rsidRPr="00B26A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0503160) не представлены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причина их непредставления не указана:</w:t>
      </w:r>
    </w:p>
    <w:p w:rsidR="001043E6" w:rsidRDefault="001043E6" w:rsidP="0010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>сведения о вложениях в объекты недвижимого имущества, объектах незавершенного строительства (ф.0503190);</w:t>
      </w:r>
    </w:p>
    <w:p w:rsidR="001043E6" w:rsidRPr="001043E6" w:rsidRDefault="001043E6" w:rsidP="001043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 xml:space="preserve">  - сведения о финансовых вложениях получателя бюджетных средств, администратора источников финансирования дефицита бюджета </w:t>
      </w:r>
      <w:hyperlink r:id="rId12" w:history="1">
        <w:r w:rsidRPr="001043E6">
          <w:rPr>
            <w:rFonts w:ascii="Times New Roman" w:eastAsia="Times New Roman" w:hAnsi="Times New Roman" w:cs="Times New Roman"/>
            <w:sz w:val="28"/>
            <w:szCs w:val="28"/>
          </w:rPr>
          <w:t>(ф. 0503171)</w:t>
        </w:r>
      </w:hyperlink>
      <w:r w:rsidRPr="001043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3E6" w:rsidRPr="00590AB5" w:rsidRDefault="001043E6" w:rsidP="001043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 государственном (муниципальном) долге, предоставленных бюджетных кредитах </w:t>
      </w:r>
      <w:hyperlink r:id="rId13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0503172)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3E6" w:rsidRPr="00590AB5" w:rsidRDefault="001043E6" w:rsidP="001043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об изменении остатков валюты баланса </w:t>
      </w:r>
      <w:hyperlink r:id="rId14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0503173)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3E6" w:rsidRPr="00590AB5" w:rsidRDefault="001043E6" w:rsidP="001043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 принятых и неисполненных обязательствах получателя бюджетных средств </w:t>
      </w:r>
      <w:hyperlink r:id="rId15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0503175)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3E6" w:rsidRPr="00590AB5" w:rsidRDefault="001043E6" w:rsidP="001043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6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0503174)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5F6" w:rsidRPr="00CA0C8F" w:rsidRDefault="00CA0C8F" w:rsidP="000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45F6" w:rsidRPr="00CA0C8F">
        <w:rPr>
          <w:rFonts w:ascii="Times New Roman" w:eastAsia="Calibri" w:hAnsi="Times New Roman" w:cs="Times New Roman"/>
          <w:sz w:val="28"/>
          <w:szCs w:val="28"/>
        </w:rPr>
        <w:t xml:space="preserve"> нарушение Инструкции №191н </w:t>
      </w:r>
      <w:proofErr w:type="spellStart"/>
      <w:r w:rsidR="0016514B" w:rsidRPr="00CA0C8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="000545F6" w:rsidRPr="00CA0C8F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 ф. 0503127 раздел 1 заполнен без главы, раздел 2 без главы, целевой статьи</w:t>
      </w:r>
      <w:r w:rsidR="00070E06" w:rsidRPr="00CA0C8F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промежуточных итогов по разделам</w:t>
      </w:r>
      <w:r w:rsidR="000545F6" w:rsidRPr="00CA0C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6F7" w:rsidRPr="00183DA5" w:rsidRDefault="009506F7" w:rsidP="009506F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b/>
          <w:sz w:val="28"/>
          <w:szCs w:val="28"/>
        </w:rPr>
        <w:t>Провести анализ с</w:t>
      </w:r>
      <w:r w:rsidRPr="00183DA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9506F7" w:rsidRPr="00183DA5" w:rsidRDefault="009506F7" w:rsidP="009506F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Представленный к проверке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проект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 исполнении бюджета поселения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«Об исполнении бюджета муниципального образования «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состоящее из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пунктов и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9506F7" w:rsidRDefault="009506F7" w:rsidP="0095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 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соответствует бюджетной классификации, применяемой при утверждении бюджета на отчетный год. Вместе с тем установлено, что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506F7" w:rsidRPr="002916F1" w:rsidRDefault="009506F7" w:rsidP="0095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отсутствует приложение </w:t>
      </w:r>
      <w:r w:rsidRPr="002916F1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об исполнении бюджета </w:t>
      </w:r>
      <w:proofErr w:type="spellStart"/>
      <w:r w:rsidRPr="002916F1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2916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2916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«Расходы соответствующего бюджета по </w:t>
      </w:r>
      <w:r w:rsidRPr="002916F1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бюджетов»;</w:t>
      </w:r>
    </w:p>
    <w:p w:rsidR="009506F7" w:rsidRPr="003F049A" w:rsidRDefault="009506F7" w:rsidP="0095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об исполнении бюджета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приложение 3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«Распределение расходов бюджета 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год»;</w:t>
      </w:r>
    </w:p>
    <w:p w:rsidR="009506F7" w:rsidRDefault="009506F7" w:rsidP="0095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приложения № 2 отражено как «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тогда как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вышеуказанной норме,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наименование указанного приложения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 xml:space="preserve">следовало отразить как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Расходы бюджета по ведомственной структуре расходов соответствующего бюджета»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06F7" w:rsidRPr="00972212" w:rsidRDefault="009506F7" w:rsidP="009506F7">
      <w:pPr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lastRenderedPageBreak/>
        <w:t>П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а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соблюдения ограничений, установленных </w:t>
      </w:r>
      <w:r w:rsidRPr="0097221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по осуществлению расходов, не связанных с решением вопросов, отнесенных к </w:t>
      </w:r>
      <w:r w:rsidRPr="00972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полномочиям соответствующих органов местного самоуправления.</w:t>
      </w:r>
    </w:p>
    <w:p w:rsidR="009506F7" w:rsidRPr="00972212" w:rsidRDefault="009506F7" w:rsidP="0095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12">
        <w:rPr>
          <w:rFonts w:ascii="Times New Roman" w:eastAsia="Times New Roman" w:hAnsi="Times New Roman" w:cs="Times New Roman"/>
          <w:spacing w:val="-6"/>
          <w:sz w:val="28"/>
          <w:szCs w:val="28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Федерации, по осуществлению расходов, не связанных с решением вопросов, отнесенных к полномочиям соответствующих органов местного самоуправления</w:t>
      </w:r>
      <w:r w:rsidRPr="009722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06F7" w:rsidRPr="00FC7801" w:rsidRDefault="009506F7" w:rsidP="009506F7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9506F7" w:rsidRPr="00FC7801" w:rsidRDefault="009506F7" w:rsidP="009506F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9506F7" w:rsidRDefault="009506F7" w:rsidP="00950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C1F45" w:rsidRDefault="00CC1F45" w:rsidP="00CC1F45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Контрольно-счетной палаты Суражского муниципального района на  проект решения «Об утверждении отчета об исполнении бюджета 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F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230F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установлено следующее:</w:t>
      </w:r>
    </w:p>
    <w:p w:rsidR="0040780A" w:rsidRDefault="0040780A" w:rsidP="00407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1C3BD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230F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230FA9">
        <w:rPr>
          <w:rFonts w:ascii="Times New Roman" w:eastAsia="Times New Roman" w:hAnsi="Times New Roman" w:cs="Times New Roman"/>
          <w:sz w:val="28"/>
          <w:szCs w:val="28"/>
        </w:rPr>
        <w:t>2133,8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230F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230FA9">
        <w:rPr>
          <w:rFonts w:ascii="Times New Roman" w:eastAsia="Times New Roman" w:hAnsi="Times New Roman" w:cs="Times New Roman"/>
          <w:sz w:val="28"/>
          <w:szCs w:val="28"/>
        </w:rPr>
        <w:t>2858,6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230FA9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230FA9">
        <w:rPr>
          <w:rFonts w:ascii="Times New Roman" w:eastAsia="Times New Roman" w:hAnsi="Times New Roman" w:cs="Times New Roman"/>
          <w:sz w:val="28"/>
          <w:szCs w:val="28"/>
        </w:rPr>
        <w:t>724,8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DB18CC" w:rsidRPr="00CC1F45" w:rsidRDefault="00DB18CC" w:rsidP="00DB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6577F" w:rsidRPr="00FF23CE" w:rsidRDefault="0040780A" w:rsidP="00A65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577F">
        <w:rPr>
          <w:rFonts w:ascii="Times New Roman" w:eastAsia="Times New Roman" w:hAnsi="Times New Roman" w:cs="Times New Roman"/>
          <w:b/>
          <w:sz w:val="28"/>
          <w:szCs w:val="28"/>
        </w:rPr>
        <w:t>Однако</w:t>
      </w:r>
      <w:proofErr w:type="gramStart"/>
      <w:r w:rsidR="00A6577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A657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18CC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установлены нарушения не повлиявшие на результат исполнения бюджета поселения, а именно </w:t>
      </w:r>
      <w:r w:rsidR="00A6577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6577F" w:rsidRPr="00FF23CE">
        <w:rPr>
          <w:rFonts w:ascii="Times New Roman" w:eastAsia="Times New Roman" w:hAnsi="Times New Roman" w:cs="Times New Roman"/>
          <w:b/>
          <w:sz w:val="28"/>
          <w:szCs w:val="28"/>
        </w:rPr>
        <w:t xml:space="preserve">аполнение </w:t>
      </w:r>
      <w:r w:rsidR="00DB18C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некоторых </w:t>
      </w:r>
      <w:r w:rsidR="00A6577F" w:rsidRPr="00FF23CE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="00A6577F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отчетности  </w:t>
      </w:r>
      <w:r w:rsidR="00A6577F" w:rsidRPr="00FF23CE">
        <w:rPr>
          <w:rFonts w:ascii="Times New Roman" w:eastAsia="Times New Roman" w:hAnsi="Times New Roman" w:cs="Times New Roman"/>
          <w:b/>
          <w:sz w:val="28"/>
          <w:szCs w:val="28"/>
        </w:rPr>
        <w:t>не в полной мере соответствует требованиям Инструкции №191н</w:t>
      </w:r>
      <w:r w:rsidR="00DB18C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6577F" w:rsidRDefault="00A6577F" w:rsidP="00A65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инвентаризаций </w:t>
      </w:r>
      <w:hyperlink r:id="rId17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«Прочие вопросы деятельности субъекта бюджетной отчетности» пояснительной записки </w:t>
      </w:r>
      <w:hyperlink r:id="rId18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A6577F" w:rsidRPr="00AF0270" w:rsidRDefault="00A6577F" w:rsidP="00A65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 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0503161  «</w:t>
      </w:r>
      <w:r w:rsidRPr="00AF0270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A6577F" w:rsidRDefault="00A6577F" w:rsidP="00A65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C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CA0C8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>0503160) представлены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 xml:space="preserve"> «Сведения о мерах по повышению эффективности расходования бюджетных средств» таблица 2, тогда как такая информация в силу </w:t>
      </w:r>
      <w:hyperlink r:id="rId19" w:history="1">
        <w:r w:rsidRPr="00E573A7">
          <w:rPr>
            <w:rFonts w:ascii="Times New Roman" w:eastAsia="Times New Roman" w:hAnsi="Times New Roman" w:cs="Times New Roman"/>
            <w:sz w:val="28"/>
            <w:szCs w:val="28"/>
          </w:rPr>
          <w:t>Приказа</w:t>
        </w:r>
      </w:hyperlink>
      <w:r w:rsidRPr="00CA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Минфина России от 02.11.2017 N 176н раскрывается в 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Разделе 2 "Результаты деятельности субъекта бюджетной отчетности" пояснительной 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0503160)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7F" w:rsidRDefault="00A6577F" w:rsidP="00A65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пояснительной записки (ф.</w:t>
      </w:r>
      <w:r w:rsidRPr="00B26A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0503160) не представлены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причина их непредставления не указана:</w:t>
      </w:r>
    </w:p>
    <w:p w:rsidR="00A6577F" w:rsidRDefault="00A6577F" w:rsidP="00A65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>сведения о вложениях в объекты недвижимого имущества, объектах незавершенного строительства (ф.0503190);</w:t>
      </w:r>
    </w:p>
    <w:p w:rsidR="00A6577F" w:rsidRPr="001043E6" w:rsidRDefault="00A6577F" w:rsidP="00A657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 xml:space="preserve">  - сведения о финансовых вложениях получателя бюджетных средств, администратора источников финансирования дефицита бюджета </w:t>
      </w:r>
      <w:hyperlink r:id="rId20" w:history="1">
        <w:r w:rsidRPr="001043E6">
          <w:rPr>
            <w:rFonts w:ascii="Times New Roman" w:eastAsia="Times New Roman" w:hAnsi="Times New Roman" w:cs="Times New Roman"/>
            <w:sz w:val="28"/>
            <w:szCs w:val="28"/>
          </w:rPr>
          <w:t>(ф. 0503171)</w:t>
        </w:r>
      </w:hyperlink>
      <w:r w:rsidRPr="001043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7F" w:rsidRPr="00590AB5" w:rsidRDefault="00A6577F" w:rsidP="00A657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 государственном (муниципальном) долге, предоставленных бюджетных кредитах </w:t>
      </w:r>
      <w:hyperlink r:id="rId21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0503172)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7F" w:rsidRPr="00590AB5" w:rsidRDefault="00A6577F" w:rsidP="00A657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об изменении остатков валюты баланса </w:t>
      </w:r>
      <w:hyperlink r:id="rId22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0503173)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7F" w:rsidRPr="00590AB5" w:rsidRDefault="00A6577F" w:rsidP="00A657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 принятых и неисполненных обязательствах получателя бюджетных средств </w:t>
      </w:r>
      <w:hyperlink r:id="rId23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0503175)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7F" w:rsidRPr="00590AB5" w:rsidRDefault="00A6577F" w:rsidP="00A657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043E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90AB5">
        <w:rPr>
          <w:rFonts w:ascii="Times New Roman" w:eastAsia="Times New Roman" w:hAnsi="Times New Roman" w:cs="Times New Roman"/>
          <w:sz w:val="28"/>
          <w:szCs w:val="28"/>
        </w:rPr>
        <w:t xml:space="preserve"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24" w:history="1">
        <w:r w:rsidRPr="00590AB5">
          <w:rPr>
            <w:rFonts w:ascii="Times New Roman" w:eastAsia="Times New Roman" w:hAnsi="Times New Roman" w:cs="Times New Roman"/>
            <w:sz w:val="28"/>
            <w:szCs w:val="28"/>
          </w:rPr>
          <w:t>(ф. 0503174)</w:t>
        </w:r>
      </w:hyperlink>
      <w:r w:rsidRPr="00590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7F" w:rsidRDefault="00A6577F" w:rsidP="00A65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0C8F">
        <w:rPr>
          <w:rFonts w:ascii="Times New Roman" w:eastAsia="Calibri" w:hAnsi="Times New Roman" w:cs="Times New Roman"/>
          <w:sz w:val="28"/>
          <w:szCs w:val="28"/>
        </w:rPr>
        <w:t xml:space="preserve"> нарушение Инструкции №191н </w:t>
      </w:r>
      <w:proofErr w:type="spellStart"/>
      <w:r w:rsidRPr="00CA0C8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CA0C8F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 ф. 0503127 раздел 1 заполнен без главы, раздел 2 без главы, целевой статьи и промежуточных итогов по разделам.</w:t>
      </w:r>
    </w:p>
    <w:p w:rsidR="00A049D3" w:rsidRPr="00A6577F" w:rsidRDefault="00A049D3" w:rsidP="004374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6577F">
        <w:rPr>
          <w:rFonts w:ascii="Times New Roman" w:eastAsia="Times New Roman" w:hAnsi="Times New Roman" w:cs="Times New Roman"/>
          <w:sz w:val="28"/>
          <w:szCs w:val="28"/>
        </w:rPr>
        <w:t xml:space="preserve">  При оценке исполнения бюджета </w:t>
      </w:r>
      <w:proofErr w:type="spellStart"/>
      <w:r w:rsidRPr="00A6577F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A657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3,2 тыс. рублей (3 случая).</w:t>
      </w:r>
    </w:p>
    <w:bookmarkEnd w:id="0"/>
    <w:p w:rsidR="00792865" w:rsidRDefault="00792865" w:rsidP="0079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внешней проверки, установлено, что  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бюджетной классификации, применяемой при утверждении бюджета на отчетный год. Вместе с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изучении проекта решения 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установлено, что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92865" w:rsidRPr="002916F1" w:rsidRDefault="00792865" w:rsidP="0079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отсутствует приложение </w:t>
      </w:r>
      <w:r w:rsidRPr="002916F1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об исполнении бюджета </w:t>
      </w:r>
      <w:proofErr w:type="spellStart"/>
      <w:r w:rsidRPr="002916F1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2916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2916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«Расходы соответствующего бюджета по </w:t>
      </w:r>
      <w:r w:rsidRPr="002916F1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бюджетов»;</w:t>
      </w:r>
    </w:p>
    <w:p w:rsidR="00792865" w:rsidRPr="003F049A" w:rsidRDefault="00792865" w:rsidP="0079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об исполнении бюджета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приложение 3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«Распределение расходов бюджета 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год»;</w:t>
      </w:r>
    </w:p>
    <w:p w:rsidR="00792865" w:rsidRDefault="00792865" w:rsidP="0079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приложения № 2 отражено как «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тогда как</w:t>
      </w:r>
      <w:r w:rsidRPr="003F049A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вышеуказанной норме,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наименование указанного приложения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 xml:space="preserve">следовало отразить как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Расходы бюджета по ведомственной структуре расходов соответствующего бюджета»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5784" w:rsidRPr="00785784" w:rsidRDefault="00785784" w:rsidP="00C2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4C5" w:rsidRPr="00CC1F45" w:rsidRDefault="00EB64C5" w:rsidP="00EB64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EB64C5" w:rsidRPr="00242F2C" w:rsidRDefault="00EB64C5" w:rsidP="00EB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1. Рассмотреть итоги настоящей внешней проверки, проанализировать замечания, отмеченные в заключении.</w:t>
      </w:r>
    </w:p>
    <w:p w:rsidR="00EB64C5" w:rsidRPr="00242F2C" w:rsidRDefault="00EB64C5" w:rsidP="00EB64C5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2. При осуществлении расходов соблюдать Порядок формирования и применения кодов бюджетной классификации Российской Федерации, их структуры и принципов назначения, утвержденный приказом Минфина России от 08.06.2018 № 132н.</w:t>
      </w:r>
    </w:p>
    <w:p w:rsidR="00EB64C5" w:rsidRPr="00242F2C" w:rsidRDefault="00EB64C5" w:rsidP="00EB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2F2C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роста </w:t>
      </w:r>
      <w:r w:rsidRPr="00242F2C"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задолженностей. Принять меры по погашению дебиторской и кредиторской задолженностей.</w:t>
      </w:r>
    </w:p>
    <w:p w:rsidR="00EB64C5" w:rsidRPr="00242F2C" w:rsidRDefault="00EB64C5" w:rsidP="00EB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2F2C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>ри исполнении бюджета не допускать неэффективного использования бюджетных средств.</w:t>
      </w:r>
    </w:p>
    <w:p w:rsidR="00EB64C5" w:rsidRDefault="00EB64C5" w:rsidP="00EB64C5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отчетности производить в соответствии с требованиями </w:t>
      </w:r>
      <w:r w:rsidRPr="00242F2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B64C5" w:rsidRPr="00E02782" w:rsidRDefault="00EB64C5" w:rsidP="00EB64C5">
      <w:pPr>
        <w:tabs>
          <w:tab w:val="left" w:pos="8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E02782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поселения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02782">
        <w:rPr>
          <w:rFonts w:ascii="Times New Roman" w:eastAsia="Calibri" w:hAnsi="Times New Roman" w:cs="Times New Roman"/>
          <w:sz w:val="28"/>
          <w:szCs w:val="28"/>
        </w:rPr>
        <w:t>формировать в</w:t>
      </w:r>
      <w:r w:rsidRPr="00E0278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782">
        <w:rPr>
          <w:rFonts w:ascii="Times New Roman" w:eastAsia="Calibri" w:hAnsi="Times New Roman" w:cs="Times New Roman"/>
          <w:sz w:val="28"/>
          <w:szCs w:val="28"/>
        </w:rPr>
        <w:t>соответствии с нормами статьи 264.6 Бюджетного кодекса РФ.</w:t>
      </w:r>
    </w:p>
    <w:p w:rsidR="00EB64C5" w:rsidRPr="00405605" w:rsidRDefault="00EB64C5" w:rsidP="00EB6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. Контрольно-счетная палата предлагает </w:t>
      </w:r>
      <w:proofErr w:type="spellStart"/>
      <w:r w:rsidR="009179B4">
        <w:rPr>
          <w:rFonts w:ascii="Times New Roman" w:eastAsia="Times New Roman" w:hAnsi="Times New Roman" w:cs="Times New Roman"/>
          <w:sz w:val="28"/>
          <w:szCs w:val="28"/>
        </w:rPr>
        <w:t>Кулажскому</w:t>
      </w:r>
      <w:proofErr w:type="spellEnd"/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 сельскому Совету народных депутатов рассмотреть и принять «Отчет об исполнении бюджета муниципального образования «</w:t>
      </w:r>
      <w:proofErr w:type="spellStart"/>
      <w:r w:rsidR="009179B4">
        <w:rPr>
          <w:rFonts w:ascii="Times New Roman" w:eastAsia="Times New Roman" w:hAnsi="Times New Roman" w:cs="Times New Roman"/>
          <w:sz w:val="28"/>
          <w:szCs w:val="28"/>
        </w:rPr>
        <w:t>Кулажское</w:t>
      </w:r>
      <w:proofErr w:type="spellEnd"/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за 2019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605"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изменений в проект решения в соответствии с указанными замечаниями </w:t>
      </w:r>
      <w:proofErr w:type="gramStart"/>
      <w:r w:rsidRPr="0040560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0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605"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gramEnd"/>
      <w:r w:rsidRPr="00405605">
        <w:rPr>
          <w:rFonts w:ascii="Times New Roman" w:eastAsia="Times New Roman" w:hAnsi="Times New Roman" w:cs="Times New Roman"/>
          <w:sz w:val="28"/>
          <w:szCs w:val="28"/>
        </w:rPr>
        <w:t xml:space="preserve"> 264.6 Бюджетного Кодекса РФ.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481294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481294">
        <w:rPr>
          <w:rFonts w:ascii="Times New Roman" w:eastAsia="Times New Roman" w:hAnsi="Times New Roman" w:cs="Times New Roman"/>
          <w:bCs/>
          <w:sz w:val="28"/>
        </w:rPr>
        <w:t>онтрольно</w:t>
      </w:r>
      <w:proofErr w:type="spellEnd"/>
      <w:r w:rsidRPr="00481294">
        <w:rPr>
          <w:rFonts w:ascii="Times New Roman" w:eastAsia="Times New Roman" w:hAnsi="Times New Roman" w:cs="Times New Roman"/>
          <w:bCs/>
          <w:sz w:val="28"/>
        </w:rPr>
        <w:t xml:space="preserve"> – счетной палаты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481294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481294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Н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В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481294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481294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481294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2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48129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1C3BD2" w:rsidRPr="00481294">
        <w:rPr>
          <w:rFonts w:ascii="Times New Roman" w:eastAsia="Times New Roman" w:hAnsi="Times New Roman" w:cs="Times New Roman"/>
          <w:sz w:val="28"/>
          <w:szCs w:val="28"/>
        </w:rPr>
        <w:t>Кулажско</w:t>
      </w:r>
      <w:r w:rsidR="007D50E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8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1294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7D50E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48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7D50EC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4812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6C9E" w:rsidRPr="004812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6C9E" w:rsidRPr="004812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Голофаст</w:t>
      </w:r>
      <w:proofErr w:type="spellEnd"/>
    </w:p>
    <w:p w:rsidR="00942BBE" w:rsidRPr="00481294" w:rsidRDefault="00481294" w:rsidP="00FE748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                                                    Е. В. Матющенко</w:t>
      </w:r>
    </w:p>
    <w:sectPr w:rsidR="00942BBE" w:rsidRPr="00481294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37B9"/>
    <w:rsid w:val="00005843"/>
    <w:rsid w:val="000114BA"/>
    <w:rsid w:val="00014083"/>
    <w:rsid w:val="00016B99"/>
    <w:rsid w:val="00017E6B"/>
    <w:rsid w:val="00020F8A"/>
    <w:rsid w:val="000233C7"/>
    <w:rsid w:val="00023BE5"/>
    <w:rsid w:val="00024435"/>
    <w:rsid w:val="0003467F"/>
    <w:rsid w:val="000375BC"/>
    <w:rsid w:val="00042D39"/>
    <w:rsid w:val="00047063"/>
    <w:rsid w:val="0005136D"/>
    <w:rsid w:val="00052451"/>
    <w:rsid w:val="000545F6"/>
    <w:rsid w:val="0005555D"/>
    <w:rsid w:val="00057426"/>
    <w:rsid w:val="00060DE8"/>
    <w:rsid w:val="00061B04"/>
    <w:rsid w:val="00066C9E"/>
    <w:rsid w:val="00070E06"/>
    <w:rsid w:val="00072FD5"/>
    <w:rsid w:val="00073F8B"/>
    <w:rsid w:val="00074218"/>
    <w:rsid w:val="0008400C"/>
    <w:rsid w:val="00085FD4"/>
    <w:rsid w:val="00091F4D"/>
    <w:rsid w:val="000928A5"/>
    <w:rsid w:val="000931D7"/>
    <w:rsid w:val="000A4E00"/>
    <w:rsid w:val="000A5D98"/>
    <w:rsid w:val="000B0B6C"/>
    <w:rsid w:val="000B2955"/>
    <w:rsid w:val="000C7DFE"/>
    <w:rsid w:val="000D7DE7"/>
    <w:rsid w:val="000E5756"/>
    <w:rsid w:val="000F0DEB"/>
    <w:rsid w:val="00100B2F"/>
    <w:rsid w:val="00100C38"/>
    <w:rsid w:val="001043E6"/>
    <w:rsid w:val="00105B27"/>
    <w:rsid w:val="001103C8"/>
    <w:rsid w:val="001107A2"/>
    <w:rsid w:val="00110B20"/>
    <w:rsid w:val="00111F62"/>
    <w:rsid w:val="00113B7D"/>
    <w:rsid w:val="00114519"/>
    <w:rsid w:val="00114B90"/>
    <w:rsid w:val="00115F50"/>
    <w:rsid w:val="00121038"/>
    <w:rsid w:val="00122E76"/>
    <w:rsid w:val="00135ABA"/>
    <w:rsid w:val="0013777A"/>
    <w:rsid w:val="001407B0"/>
    <w:rsid w:val="00141EDF"/>
    <w:rsid w:val="001474A9"/>
    <w:rsid w:val="001514EE"/>
    <w:rsid w:val="00156E4D"/>
    <w:rsid w:val="00160C5E"/>
    <w:rsid w:val="00163287"/>
    <w:rsid w:val="0016514B"/>
    <w:rsid w:val="00167798"/>
    <w:rsid w:val="0017003F"/>
    <w:rsid w:val="00175DA3"/>
    <w:rsid w:val="0018079E"/>
    <w:rsid w:val="001827DE"/>
    <w:rsid w:val="00183BC0"/>
    <w:rsid w:val="00184FB6"/>
    <w:rsid w:val="001852CF"/>
    <w:rsid w:val="0019155B"/>
    <w:rsid w:val="00195789"/>
    <w:rsid w:val="001A0827"/>
    <w:rsid w:val="001A2AA6"/>
    <w:rsid w:val="001A43B3"/>
    <w:rsid w:val="001A54C5"/>
    <w:rsid w:val="001A58D0"/>
    <w:rsid w:val="001C3BD2"/>
    <w:rsid w:val="001D024F"/>
    <w:rsid w:val="001D2478"/>
    <w:rsid w:val="001D43B2"/>
    <w:rsid w:val="001D4AEE"/>
    <w:rsid w:val="001D7371"/>
    <w:rsid w:val="001E7978"/>
    <w:rsid w:val="001E7C64"/>
    <w:rsid w:val="001F3625"/>
    <w:rsid w:val="001F4D9E"/>
    <w:rsid w:val="002004AC"/>
    <w:rsid w:val="00202FDD"/>
    <w:rsid w:val="00203788"/>
    <w:rsid w:val="00205766"/>
    <w:rsid w:val="002068BC"/>
    <w:rsid w:val="00211DB6"/>
    <w:rsid w:val="00212EE0"/>
    <w:rsid w:val="002159A9"/>
    <w:rsid w:val="00216E05"/>
    <w:rsid w:val="002200F0"/>
    <w:rsid w:val="002235B5"/>
    <w:rsid w:val="00223CDC"/>
    <w:rsid w:val="00230858"/>
    <w:rsid w:val="00230FA9"/>
    <w:rsid w:val="002315E7"/>
    <w:rsid w:val="00233F3E"/>
    <w:rsid w:val="00234D9C"/>
    <w:rsid w:val="0023745B"/>
    <w:rsid w:val="002422C0"/>
    <w:rsid w:val="00242B4B"/>
    <w:rsid w:val="00243A4F"/>
    <w:rsid w:val="00247368"/>
    <w:rsid w:val="00250DB7"/>
    <w:rsid w:val="00255D91"/>
    <w:rsid w:val="00257CDD"/>
    <w:rsid w:val="00260FCF"/>
    <w:rsid w:val="00263C3B"/>
    <w:rsid w:val="00265888"/>
    <w:rsid w:val="002719E1"/>
    <w:rsid w:val="002728CC"/>
    <w:rsid w:val="00276850"/>
    <w:rsid w:val="00277469"/>
    <w:rsid w:val="00281A5C"/>
    <w:rsid w:val="002916F1"/>
    <w:rsid w:val="00292C71"/>
    <w:rsid w:val="002A0705"/>
    <w:rsid w:val="002A53F6"/>
    <w:rsid w:val="002B6D83"/>
    <w:rsid w:val="002C1C7B"/>
    <w:rsid w:val="002C7EC3"/>
    <w:rsid w:val="002D0625"/>
    <w:rsid w:val="002D28E8"/>
    <w:rsid w:val="002D34AE"/>
    <w:rsid w:val="002D6617"/>
    <w:rsid w:val="002D6C4F"/>
    <w:rsid w:val="002E0232"/>
    <w:rsid w:val="002E0953"/>
    <w:rsid w:val="002E095D"/>
    <w:rsid w:val="002E0ECA"/>
    <w:rsid w:val="002E1A6F"/>
    <w:rsid w:val="002E42E5"/>
    <w:rsid w:val="002E4DD0"/>
    <w:rsid w:val="002E5B89"/>
    <w:rsid w:val="002F173B"/>
    <w:rsid w:val="002F6023"/>
    <w:rsid w:val="002F66FD"/>
    <w:rsid w:val="003021A4"/>
    <w:rsid w:val="003132E1"/>
    <w:rsid w:val="00313AFA"/>
    <w:rsid w:val="00315C2F"/>
    <w:rsid w:val="00315F12"/>
    <w:rsid w:val="00321A4D"/>
    <w:rsid w:val="003267D0"/>
    <w:rsid w:val="00326930"/>
    <w:rsid w:val="00326F86"/>
    <w:rsid w:val="00330A49"/>
    <w:rsid w:val="00334856"/>
    <w:rsid w:val="0034103C"/>
    <w:rsid w:val="00342F16"/>
    <w:rsid w:val="00343199"/>
    <w:rsid w:val="0034394A"/>
    <w:rsid w:val="00357B2F"/>
    <w:rsid w:val="003624F2"/>
    <w:rsid w:val="00363F1B"/>
    <w:rsid w:val="0036653B"/>
    <w:rsid w:val="003719D4"/>
    <w:rsid w:val="003723E8"/>
    <w:rsid w:val="0037322E"/>
    <w:rsid w:val="00377349"/>
    <w:rsid w:val="003803EB"/>
    <w:rsid w:val="003807BE"/>
    <w:rsid w:val="00381423"/>
    <w:rsid w:val="003849F8"/>
    <w:rsid w:val="00385715"/>
    <w:rsid w:val="0038708A"/>
    <w:rsid w:val="003878E5"/>
    <w:rsid w:val="00393F0D"/>
    <w:rsid w:val="00395FB9"/>
    <w:rsid w:val="003962AC"/>
    <w:rsid w:val="00397886"/>
    <w:rsid w:val="003A25D7"/>
    <w:rsid w:val="003A2E46"/>
    <w:rsid w:val="003A600B"/>
    <w:rsid w:val="003B4BBF"/>
    <w:rsid w:val="003B5E3B"/>
    <w:rsid w:val="003B6A3D"/>
    <w:rsid w:val="003B6E20"/>
    <w:rsid w:val="003B79D4"/>
    <w:rsid w:val="003C1E29"/>
    <w:rsid w:val="003C362F"/>
    <w:rsid w:val="003C6677"/>
    <w:rsid w:val="003C7C3B"/>
    <w:rsid w:val="003D14BA"/>
    <w:rsid w:val="003E0804"/>
    <w:rsid w:val="003E1A23"/>
    <w:rsid w:val="003E260A"/>
    <w:rsid w:val="003E55AC"/>
    <w:rsid w:val="003E6942"/>
    <w:rsid w:val="003F4636"/>
    <w:rsid w:val="003F5B97"/>
    <w:rsid w:val="00403F8A"/>
    <w:rsid w:val="004058C5"/>
    <w:rsid w:val="00407489"/>
    <w:rsid w:val="0040780A"/>
    <w:rsid w:val="00410349"/>
    <w:rsid w:val="0041108D"/>
    <w:rsid w:val="00412471"/>
    <w:rsid w:val="00413744"/>
    <w:rsid w:val="0041647A"/>
    <w:rsid w:val="00422918"/>
    <w:rsid w:val="00430461"/>
    <w:rsid w:val="00430AAD"/>
    <w:rsid w:val="00433503"/>
    <w:rsid w:val="004340B1"/>
    <w:rsid w:val="00437474"/>
    <w:rsid w:val="0044268D"/>
    <w:rsid w:val="004458F7"/>
    <w:rsid w:val="004519C0"/>
    <w:rsid w:val="0045377A"/>
    <w:rsid w:val="0045449E"/>
    <w:rsid w:val="004607F1"/>
    <w:rsid w:val="00461935"/>
    <w:rsid w:val="004626DF"/>
    <w:rsid w:val="00467A92"/>
    <w:rsid w:val="00470ADF"/>
    <w:rsid w:val="00472890"/>
    <w:rsid w:val="00473E1D"/>
    <w:rsid w:val="00475B86"/>
    <w:rsid w:val="00476995"/>
    <w:rsid w:val="00481294"/>
    <w:rsid w:val="00482038"/>
    <w:rsid w:val="004838AB"/>
    <w:rsid w:val="00494544"/>
    <w:rsid w:val="00494E2F"/>
    <w:rsid w:val="00496D05"/>
    <w:rsid w:val="004A1184"/>
    <w:rsid w:val="004A1947"/>
    <w:rsid w:val="004A217A"/>
    <w:rsid w:val="004A4D6E"/>
    <w:rsid w:val="004A598E"/>
    <w:rsid w:val="004A5C6B"/>
    <w:rsid w:val="004A7A4B"/>
    <w:rsid w:val="004B478B"/>
    <w:rsid w:val="004B5769"/>
    <w:rsid w:val="004B6447"/>
    <w:rsid w:val="004B7374"/>
    <w:rsid w:val="004C3927"/>
    <w:rsid w:val="004D0068"/>
    <w:rsid w:val="004D6765"/>
    <w:rsid w:val="004E105C"/>
    <w:rsid w:val="004E24B7"/>
    <w:rsid w:val="004E4BB9"/>
    <w:rsid w:val="004E62BB"/>
    <w:rsid w:val="004F7DDC"/>
    <w:rsid w:val="0050419E"/>
    <w:rsid w:val="0050446C"/>
    <w:rsid w:val="00505453"/>
    <w:rsid w:val="00505B1E"/>
    <w:rsid w:val="00507F47"/>
    <w:rsid w:val="00510A45"/>
    <w:rsid w:val="005214B3"/>
    <w:rsid w:val="00523328"/>
    <w:rsid w:val="00530D7F"/>
    <w:rsid w:val="00531AE9"/>
    <w:rsid w:val="00532601"/>
    <w:rsid w:val="005347BF"/>
    <w:rsid w:val="00540CD5"/>
    <w:rsid w:val="00540DCB"/>
    <w:rsid w:val="00541AC7"/>
    <w:rsid w:val="00541DB7"/>
    <w:rsid w:val="00551B1B"/>
    <w:rsid w:val="00551E70"/>
    <w:rsid w:val="00552392"/>
    <w:rsid w:val="00554C07"/>
    <w:rsid w:val="005578D8"/>
    <w:rsid w:val="0056021D"/>
    <w:rsid w:val="005625F4"/>
    <w:rsid w:val="005636A1"/>
    <w:rsid w:val="00565559"/>
    <w:rsid w:val="00571080"/>
    <w:rsid w:val="00585224"/>
    <w:rsid w:val="00585961"/>
    <w:rsid w:val="00586D6B"/>
    <w:rsid w:val="00587298"/>
    <w:rsid w:val="005873C9"/>
    <w:rsid w:val="00587605"/>
    <w:rsid w:val="00590AB5"/>
    <w:rsid w:val="005930CB"/>
    <w:rsid w:val="00595E7E"/>
    <w:rsid w:val="00596FBA"/>
    <w:rsid w:val="00597D9E"/>
    <w:rsid w:val="005A25B5"/>
    <w:rsid w:val="005A3DEA"/>
    <w:rsid w:val="005A5309"/>
    <w:rsid w:val="005A6EC4"/>
    <w:rsid w:val="005B595D"/>
    <w:rsid w:val="005B6E63"/>
    <w:rsid w:val="005C0566"/>
    <w:rsid w:val="005C252E"/>
    <w:rsid w:val="005C26FB"/>
    <w:rsid w:val="005C3A70"/>
    <w:rsid w:val="005C5DFA"/>
    <w:rsid w:val="005C6CA8"/>
    <w:rsid w:val="005D4BDF"/>
    <w:rsid w:val="005D6800"/>
    <w:rsid w:val="005E03D0"/>
    <w:rsid w:val="005E66AB"/>
    <w:rsid w:val="005F048A"/>
    <w:rsid w:val="005F0A61"/>
    <w:rsid w:val="005F4678"/>
    <w:rsid w:val="0060080F"/>
    <w:rsid w:val="00601D98"/>
    <w:rsid w:val="006027D4"/>
    <w:rsid w:val="006076B2"/>
    <w:rsid w:val="006113F7"/>
    <w:rsid w:val="00612618"/>
    <w:rsid w:val="00622CDC"/>
    <w:rsid w:val="00624F86"/>
    <w:rsid w:val="00626138"/>
    <w:rsid w:val="00632518"/>
    <w:rsid w:val="00635947"/>
    <w:rsid w:val="00641173"/>
    <w:rsid w:val="00645642"/>
    <w:rsid w:val="00651680"/>
    <w:rsid w:val="006611E3"/>
    <w:rsid w:val="00662E3F"/>
    <w:rsid w:val="006664AF"/>
    <w:rsid w:val="006669FA"/>
    <w:rsid w:val="00671995"/>
    <w:rsid w:val="00672949"/>
    <w:rsid w:val="00674054"/>
    <w:rsid w:val="0067560F"/>
    <w:rsid w:val="00683677"/>
    <w:rsid w:val="00685B63"/>
    <w:rsid w:val="0069660F"/>
    <w:rsid w:val="006969CE"/>
    <w:rsid w:val="006A32F4"/>
    <w:rsid w:val="006A429B"/>
    <w:rsid w:val="006A4FA5"/>
    <w:rsid w:val="006C2497"/>
    <w:rsid w:val="006C5321"/>
    <w:rsid w:val="006C7493"/>
    <w:rsid w:val="006D19A3"/>
    <w:rsid w:val="006D4B60"/>
    <w:rsid w:val="006D5ADF"/>
    <w:rsid w:val="006D6953"/>
    <w:rsid w:val="006E17EA"/>
    <w:rsid w:val="006E777D"/>
    <w:rsid w:val="006F722A"/>
    <w:rsid w:val="0071314C"/>
    <w:rsid w:val="00713F2E"/>
    <w:rsid w:val="00713F40"/>
    <w:rsid w:val="007158A7"/>
    <w:rsid w:val="00720049"/>
    <w:rsid w:val="00720AB8"/>
    <w:rsid w:val="00722A67"/>
    <w:rsid w:val="00725F87"/>
    <w:rsid w:val="00731F91"/>
    <w:rsid w:val="00734C22"/>
    <w:rsid w:val="00736758"/>
    <w:rsid w:val="00736B81"/>
    <w:rsid w:val="00741DE6"/>
    <w:rsid w:val="00743068"/>
    <w:rsid w:val="007512AF"/>
    <w:rsid w:val="00754342"/>
    <w:rsid w:val="007565F0"/>
    <w:rsid w:val="007628E9"/>
    <w:rsid w:val="00762C3A"/>
    <w:rsid w:val="00767197"/>
    <w:rsid w:val="0077391C"/>
    <w:rsid w:val="00775A78"/>
    <w:rsid w:val="00785784"/>
    <w:rsid w:val="00792865"/>
    <w:rsid w:val="00796DC6"/>
    <w:rsid w:val="007A1E5D"/>
    <w:rsid w:val="007A4F8A"/>
    <w:rsid w:val="007A5505"/>
    <w:rsid w:val="007A5B6C"/>
    <w:rsid w:val="007B5A3C"/>
    <w:rsid w:val="007B67D8"/>
    <w:rsid w:val="007B77A0"/>
    <w:rsid w:val="007C00CB"/>
    <w:rsid w:val="007C1A5C"/>
    <w:rsid w:val="007C1E60"/>
    <w:rsid w:val="007C3C3B"/>
    <w:rsid w:val="007D0281"/>
    <w:rsid w:val="007D1896"/>
    <w:rsid w:val="007D4632"/>
    <w:rsid w:val="007D50EC"/>
    <w:rsid w:val="007D72FA"/>
    <w:rsid w:val="007F12CA"/>
    <w:rsid w:val="007F3311"/>
    <w:rsid w:val="007F37D1"/>
    <w:rsid w:val="007F6FAC"/>
    <w:rsid w:val="00801584"/>
    <w:rsid w:val="00803F66"/>
    <w:rsid w:val="008068F5"/>
    <w:rsid w:val="00806B51"/>
    <w:rsid w:val="00810206"/>
    <w:rsid w:val="008113D1"/>
    <w:rsid w:val="00813F1E"/>
    <w:rsid w:val="00824BAB"/>
    <w:rsid w:val="0083175E"/>
    <w:rsid w:val="0083273E"/>
    <w:rsid w:val="0083327A"/>
    <w:rsid w:val="008355C8"/>
    <w:rsid w:val="008378CD"/>
    <w:rsid w:val="00837B34"/>
    <w:rsid w:val="00844936"/>
    <w:rsid w:val="0084544C"/>
    <w:rsid w:val="0084691F"/>
    <w:rsid w:val="00846C96"/>
    <w:rsid w:val="008473D0"/>
    <w:rsid w:val="00847E02"/>
    <w:rsid w:val="008518D0"/>
    <w:rsid w:val="00851A1A"/>
    <w:rsid w:val="008558F8"/>
    <w:rsid w:val="00857B26"/>
    <w:rsid w:val="008625B4"/>
    <w:rsid w:val="008653A3"/>
    <w:rsid w:val="00867EDE"/>
    <w:rsid w:val="00870A05"/>
    <w:rsid w:val="008716C1"/>
    <w:rsid w:val="008740C7"/>
    <w:rsid w:val="00875B3B"/>
    <w:rsid w:val="00877C82"/>
    <w:rsid w:val="0088077B"/>
    <w:rsid w:val="00880C86"/>
    <w:rsid w:val="00880D3B"/>
    <w:rsid w:val="00883F0A"/>
    <w:rsid w:val="00887C69"/>
    <w:rsid w:val="00893BE1"/>
    <w:rsid w:val="008A249C"/>
    <w:rsid w:val="008A56D2"/>
    <w:rsid w:val="008B20DF"/>
    <w:rsid w:val="008B3F35"/>
    <w:rsid w:val="008B5B3F"/>
    <w:rsid w:val="008C1362"/>
    <w:rsid w:val="008C292D"/>
    <w:rsid w:val="008C4C92"/>
    <w:rsid w:val="008C65D4"/>
    <w:rsid w:val="008D3EDE"/>
    <w:rsid w:val="008D6581"/>
    <w:rsid w:val="008E014A"/>
    <w:rsid w:val="008F5110"/>
    <w:rsid w:val="008F6290"/>
    <w:rsid w:val="008F7511"/>
    <w:rsid w:val="00905095"/>
    <w:rsid w:val="00910671"/>
    <w:rsid w:val="009109CB"/>
    <w:rsid w:val="009121C4"/>
    <w:rsid w:val="00913766"/>
    <w:rsid w:val="00913FD7"/>
    <w:rsid w:val="009179B4"/>
    <w:rsid w:val="00920A45"/>
    <w:rsid w:val="00921BB9"/>
    <w:rsid w:val="009260D7"/>
    <w:rsid w:val="00927D1B"/>
    <w:rsid w:val="009326A0"/>
    <w:rsid w:val="00935934"/>
    <w:rsid w:val="00937CCE"/>
    <w:rsid w:val="00942BBE"/>
    <w:rsid w:val="0094408C"/>
    <w:rsid w:val="009456A4"/>
    <w:rsid w:val="009459EA"/>
    <w:rsid w:val="009506F7"/>
    <w:rsid w:val="00951D8D"/>
    <w:rsid w:val="00954E8E"/>
    <w:rsid w:val="009602AB"/>
    <w:rsid w:val="009603BC"/>
    <w:rsid w:val="00961554"/>
    <w:rsid w:val="00962E5F"/>
    <w:rsid w:val="00974D0E"/>
    <w:rsid w:val="009769B8"/>
    <w:rsid w:val="00984612"/>
    <w:rsid w:val="009913C9"/>
    <w:rsid w:val="00993DC1"/>
    <w:rsid w:val="00996F5F"/>
    <w:rsid w:val="009976E8"/>
    <w:rsid w:val="009A0A0B"/>
    <w:rsid w:val="009A2FCF"/>
    <w:rsid w:val="009A3C62"/>
    <w:rsid w:val="009A3D37"/>
    <w:rsid w:val="009B2671"/>
    <w:rsid w:val="009B305F"/>
    <w:rsid w:val="009B46BD"/>
    <w:rsid w:val="009B4826"/>
    <w:rsid w:val="009C1FD2"/>
    <w:rsid w:val="009C25AE"/>
    <w:rsid w:val="009C4DF9"/>
    <w:rsid w:val="009D30C4"/>
    <w:rsid w:val="009D326B"/>
    <w:rsid w:val="009D34D7"/>
    <w:rsid w:val="009D4807"/>
    <w:rsid w:val="009D4E9C"/>
    <w:rsid w:val="009D76C0"/>
    <w:rsid w:val="009E2B00"/>
    <w:rsid w:val="009E38F6"/>
    <w:rsid w:val="009E5E00"/>
    <w:rsid w:val="009E6356"/>
    <w:rsid w:val="009F2D06"/>
    <w:rsid w:val="00A019B1"/>
    <w:rsid w:val="00A02A93"/>
    <w:rsid w:val="00A049D3"/>
    <w:rsid w:val="00A05F9C"/>
    <w:rsid w:val="00A13434"/>
    <w:rsid w:val="00A20E24"/>
    <w:rsid w:val="00A2462C"/>
    <w:rsid w:val="00A25CCB"/>
    <w:rsid w:val="00A313DF"/>
    <w:rsid w:val="00A32477"/>
    <w:rsid w:val="00A34104"/>
    <w:rsid w:val="00A41C43"/>
    <w:rsid w:val="00A447CF"/>
    <w:rsid w:val="00A500E1"/>
    <w:rsid w:val="00A545B9"/>
    <w:rsid w:val="00A609C1"/>
    <w:rsid w:val="00A64CD3"/>
    <w:rsid w:val="00A6577F"/>
    <w:rsid w:val="00A65792"/>
    <w:rsid w:val="00A669CE"/>
    <w:rsid w:val="00A66F38"/>
    <w:rsid w:val="00A71DD5"/>
    <w:rsid w:val="00A720F0"/>
    <w:rsid w:val="00A728F2"/>
    <w:rsid w:val="00A7415F"/>
    <w:rsid w:val="00A805E0"/>
    <w:rsid w:val="00A84A0B"/>
    <w:rsid w:val="00A867FD"/>
    <w:rsid w:val="00A8702E"/>
    <w:rsid w:val="00A90BE3"/>
    <w:rsid w:val="00A9178E"/>
    <w:rsid w:val="00A92124"/>
    <w:rsid w:val="00A92487"/>
    <w:rsid w:val="00A92DD0"/>
    <w:rsid w:val="00A9423E"/>
    <w:rsid w:val="00AA0C6A"/>
    <w:rsid w:val="00AA1CC2"/>
    <w:rsid w:val="00AB0538"/>
    <w:rsid w:val="00AB1F67"/>
    <w:rsid w:val="00AB5FED"/>
    <w:rsid w:val="00AB6328"/>
    <w:rsid w:val="00AB73FC"/>
    <w:rsid w:val="00AB778F"/>
    <w:rsid w:val="00AC05E6"/>
    <w:rsid w:val="00AC2F71"/>
    <w:rsid w:val="00AC62E3"/>
    <w:rsid w:val="00AD0B15"/>
    <w:rsid w:val="00AE414C"/>
    <w:rsid w:val="00AE616C"/>
    <w:rsid w:val="00AF3C30"/>
    <w:rsid w:val="00AF5AD4"/>
    <w:rsid w:val="00AF7432"/>
    <w:rsid w:val="00B002CC"/>
    <w:rsid w:val="00B03CF6"/>
    <w:rsid w:val="00B03D35"/>
    <w:rsid w:val="00B04771"/>
    <w:rsid w:val="00B04FA4"/>
    <w:rsid w:val="00B1201A"/>
    <w:rsid w:val="00B12BFE"/>
    <w:rsid w:val="00B14759"/>
    <w:rsid w:val="00B25AC1"/>
    <w:rsid w:val="00B30DAA"/>
    <w:rsid w:val="00B34844"/>
    <w:rsid w:val="00B35585"/>
    <w:rsid w:val="00B35D0C"/>
    <w:rsid w:val="00B40855"/>
    <w:rsid w:val="00B44117"/>
    <w:rsid w:val="00B44720"/>
    <w:rsid w:val="00B4545F"/>
    <w:rsid w:val="00B54F26"/>
    <w:rsid w:val="00B566F1"/>
    <w:rsid w:val="00B62054"/>
    <w:rsid w:val="00B63A07"/>
    <w:rsid w:val="00B67183"/>
    <w:rsid w:val="00B74205"/>
    <w:rsid w:val="00B83EC4"/>
    <w:rsid w:val="00B864C6"/>
    <w:rsid w:val="00B87953"/>
    <w:rsid w:val="00B95A0D"/>
    <w:rsid w:val="00B95EA4"/>
    <w:rsid w:val="00B96BAA"/>
    <w:rsid w:val="00BA0872"/>
    <w:rsid w:val="00BA0ECF"/>
    <w:rsid w:val="00BA2DB8"/>
    <w:rsid w:val="00BA7EA9"/>
    <w:rsid w:val="00BB2894"/>
    <w:rsid w:val="00BC1B2E"/>
    <w:rsid w:val="00BC4E8B"/>
    <w:rsid w:val="00BD068F"/>
    <w:rsid w:val="00BD4104"/>
    <w:rsid w:val="00BD4960"/>
    <w:rsid w:val="00BD6E8A"/>
    <w:rsid w:val="00BE28A4"/>
    <w:rsid w:val="00BE33CD"/>
    <w:rsid w:val="00BF7D4D"/>
    <w:rsid w:val="00C01403"/>
    <w:rsid w:val="00C0253F"/>
    <w:rsid w:val="00C04471"/>
    <w:rsid w:val="00C0453F"/>
    <w:rsid w:val="00C0531E"/>
    <w:rsid w:val="00C0648F"/>
    <w:rsid w:val="00C06542"/>
    <w:rsid w:val="00C06D71"/>
    <w:rsid w:val="00C16554"/>
    <w:rsid w:val="00C2068F"/>
    <w:rsid w:val="00C23C47"/>
    <w:rsid w:val="00C2474F"/>
    <w:rsid w:val="00C26EA4"/>
    <w:rsid w:val="00C46CD5"/>
    <w:rsid w:val="00C4724F"/>
    <w:rsid w:val="00C47BF8"/>
    <w:rsid w:val="00C50D83"/>
    <w:rsid w:val="00C516DD"/>
    <w:rsid w:val="00C5213B"/>
    <w:rsid w:val="00C52269"/>
    <w:rsid w:val="00C57B73"/>
    <w:rsid w:val="00C63B76"/>
    <w:rsid w:val="00C64BE1"/>
    <w:rsid w:val="00C67BBC"/>
    <w:rsid w:val="00C70FDA"/>
    <w:rsid w:val="00C711D5"/>
    <w:rsid w:val="00C77F0E"/>
    <w:rsid w:val="00C812BF"/>
    <w:rsid w:val="00C861E3"/>
    <w:rsid w:val="00C87ED4"/>
    <w:rsid w:val="00CA0C8F"/>
    <w:rsid w:val="00CB03F7"/>
    <w:rsid w:val="00CB1B20"/>
    <w:rsid w:val="00CB4D12"/>
    <w:rsid w:val="00CB65E5"/>
    <w:rsid w:val="00CC0A54"/>
    <w:rsid w:val="00CC1F45"/>
    <w:rsid w:val="00CC212F"/>
    <w:rsid w:val="00CC2E65"/>
    <w:rsid w:val="00CC3F56"/>
    <w:rsid w:val="00CC6CB6"/>
    <w:rsid w:val="00CD3AF8"/>
    <w:rsid w:val="00CD514B"/>
    <w:rsid w:val="00CD517A"/>
    <w:rsid w:val="00CD5D63"/>
    <w:rsid w:val="00CD5EF8"/>
    <w:rsid w:val="00CE08B9"/>
    <w:rsid w:val="00CE140F"/>
    <w:rsid w:val="00CE2E7C"/>
    <w:rsid w:val="00CE4A56"/>
    <w:rsid w:val="00CE4EF2"/>
    <w:rsid w:val="00CE72AD"/>
    <w:rsid w:val="00CF1E92"/>
    <w:rsid w:val="00CF2990"/>
    <w:rsid w:val="00CF78F7"/>
    <w:rsid w:val="00CF7A92"/>
    <w:rsid w:val="00CF7AA9"/>
    <w:rsid w:val="00D11E02"/>
    <w:rsid w:val="00D16610"/>
    <w:rsid w:val="00D17A24"/>
    <w:rsid w:val="00D24CC4"/>
    <w:rsid w:val="00D25045"/>
    <w:rsid w:val="00D26507"/>
    <w:rsid w:val="00D30BDF"/>
    <w:rsid w:val="00D320C7"/>
    <w:rsid w:val="00D3345D"/>
    <w:rsid w:val="00D409E7"/>
    <w:rsid w:val="00D4625C"/>
    <w:rsid w:val="00D50D16"/>
    <w:rsid w:val="00D50DED"/>
    <w:rsid w:val="00D51409"/>
    <w:rsid w:val="00D51549"/>
    <w:rsid w:val="00D542B7"/>
    <w:rsid w:val="00D5558E"/>
    <w:rsid w:val="00D5589D"/>
    <w:rsid w:val="00D63323"/>
    <w:rsid w:val="00D64C8D"/>
    <w:rsid w:val="00D747FA"/>
    <w:rsid w:val="00D74F06"/>
    <w:rsid w:val="00D76A00"/>
    <w:rsid w:val="00D7746D"/>
    <w:rsid w:val="00D77BC8"/>
    <w:rsid w:val="00D77F98"/>
    <w:rsid w:val="00D861FA"/>
    <w:rsid w:val="00D87BB6"/>
    <w:rsid w:val="00D87DEA"/>
    <w:rsid w:val="00D905BC"/>
    <w:rsid w:val="00D95C2E"/>
    <w:rsid w:val="00DA1592"/>
    <w:rsid w:val="00DA6287"/>
    <w:rsid w:val="00DB18CC"/>
    <w:rsid w:val="00DB1F10"/>
    <w:rsid w:val="00DB2585"/>
    <w:rsid w:val="00DB26BA"/>
    <w:rsid w:val="00DB490D"/>
    <w:rsid w:val="00DC37AA"/>
    <w:rsid w:val="00DC54C8"/>
    <w:rsid w:val="00DD1C14"/>
    <w:rsid w:val="00DD42CE"/>
    <w:rsid w:val="00DD6D6C"/>
    <w:rsid w:val="00DE02CA"/>
    <w:rsid w:val="00DE2C6B"/>
    <w:rsid w:val="00DE2E11"/>
    <w:rsid w:val="00DE37FD"/>
    <w:rsid w:val="00DE4DDD"/>
    <w:rsid w:val="00DF06E4"/>
    <w:rsid w:val="00DF0E3A"/>
    <w:rsid w:val="00DF1723"/>
    <w:rsid w:val="00DF1E8B"/>
    <w:rsid w:val="00DF22D1"/>
    <w:rsid w:val="00DF383F"/>
    <w:rsid w:val="00DF6622"/>
    <w:rsid w:val="00E006EB"/>
    <w:rsid w:val="00E031EA"/>
    <w:rsid w:val="00E16FE0"/>
    <w:rsid w:val="00E2088F"/>
    <w:rsid w:val="00E21CD3"/>
    <w:rsid w:val="00E23B21"/>
    <w:rsid w:val="00E23BA6"/>
    <w:rsid w:val="00E243B2"/>
    <w:rsid w:val="00E262AC"/>
    <w:rsid w:val="00E26DE8"/>
    <w:rsid w:val="00E3269B"/>
    <w:rsid w:val="00E3281D"/>
    <w:rsid w:val="00E3339D"/>
    <w:rsid w:val="00E3397B"/>
    <w:rsid w:val="00E36E29"/>
    <w:rsid w:val="00E43479"/>
    <w:rsid w:val="00E536F8"/>
    <w:rsid w:val="00E53F86"/>
    <w:rsid w:val="00E57157"/>
    <w:rsid w:val="00E573A7"/>
    <w:rsid w:val="00E60CEA"/>
    <w:rsid w:val="00E67FC0"/>
    <w:rsid w:val="00E76371"/>
    <w:rsid w:val="00E852A7"/>
    <w:rsid w:val="00E92678"/>
    <w:rsid w:val="00E97653"/>
    <w:rsid w:val="00E97F7F"/>
    <w:rsid w:val="00EA0800"/>
    <w:rsid w:val="00EA2BBF"/>
    <w:rsid w:val="00EA6B68"/>
    <w:rsid w:val="00EA7C12"/>
    <w:rsid w:val="00EB1B09"/>
    <w:rsid w:val="00EB3345"/>
    <w:rsid w:val="00EB3862"/>
    <w:rsid w:val="00EB60E0"/>
    <w:rsid w:val="00EB64C5"/>
    <w:rsid w:val="00EC41B0"/>
    <w:rsid w:val="00EC7E28"/>
    <w:rsid w:val="00ED04E9"/>
    <w:rsid w:val="00ED27D9"/>
    <w:rsid w:val="00ED5F66"/>
    <w:rsid w:val="00EE089B"/>
    <w:rsid w:val="00EE225D"/>
    <w:rsid w:val="00EE29FF"/>
    <w:rsid w:val="00EE4325"/>
    <w:rsid w:val="00EE46D9"/>
    <w:rsid w:val="00EE5EC3"/>
    <w:rsid w:val="00EF1814"/>
    <w:rsid w:val="00EF37AE"/>
    <w:rsid w:val="00EF6419"/>
    <w:rsid w:val="00F02294"/>
    <w:rsid w:val="00F06BED"/>
    <w:rsid w:val="00F07842"/>
    <w:rsid w:val="00F1013E"/>
    <w:rsid w:val="00F14B8F"/>
    <w:rsid w:val="00F14D76"/>
    <w:rsid w:val="00F17A31"/>
    <w:rsid w:val="00F21CAC"/>
    <w:rsid w:val="00F24B32"/>
    <w:rsid w:val="00F24CA7"/>
    <w:rsid w:val="00F26073"/>
    <w:rsid w:val="00F2636F"/>
    <w:rsid w:val="00F27A94"/>
    <w:rsid w:val="00F337CA"/>
    <w:rsid w:val="00F3782D"/>
    <w:rsid w:val="00F524E5"/>
    <w:rsid w:val="00F53A47"/>
    <w:rsid w:val="00F560FA"/>
    <w:rsid w:val="00F57154"/>
    <w:rsid w:val="00F600A4"/>
    <w:rsid w:val="00F602A4"/>
    <w:rsid w:val="00F60BC8"/>
    <w:rsid w:val="00F67804"/>
    <w:rsid w:val="00F7190D"/>
    <w:rsid w:val="00F74E8C"/>
    <w:rsid w:val="00F76211"/>
    <w:rsid w:val="00F82049"/>
    <w:rsid w:val="00F86222"/>
    <w:rsid w:val="00F91DF4"/>
    <w:rsid w:val="00FA00DB"/>
    <w:rsid w:val="00FA075F"/>
    <w:rsid w:val="00FA1CCA"/>
    <w:rsid w:val="00FA4B4A"/>
    <w:rsid w:val="00FA5377"/>
    <w:rsid w:val="00FA63EA"/>
    <w:rsid w:val="00FA767C"/>
    <w:rsid w:val="00FB1989"/>
    <w:rsid w:val="00FB212F"/>
    <w:rsid w:val="00FB2AA0"/>
    <w:rsid w:val="00FC39CB"/>
    <w:rsid w:val="00FC3D3A"/>
    <w:rsid w:val="00FC41F6"/>
    <w:rsid w:val="00FC556C"/>
    <w:rsid w:val="00FC58AA"/>
    <w:rsid w:val="00FC6B80"/>
    <w:rsid w:val="00FC7801"/>
    <w:rsid w:val="00FD609F"/>
    <w:rsid w:val="00FD61A7"/>
    <w:rsid w:val="00FD74BD"/>
    <w:rsid w:val="00FE190F"/>
    <w:rsid w:val="00FE4815"/>
    <w:rsid w:val="00FE5F97"/>
    <w:rsid w:val="00FE748A"/>
    <w:rsid w:val="00FF0126"/>
    <w:rsid w:val="00FF0CF0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13" Type="http://schemas.openxmlformats.org/officeDocument/2006/relationships/hyperlink" Target="https://login.consultant.ru/link/?rnd=92190E8AD56554FB7DE7CF5B5F3ACF01&amp;req=doc&amp;base=RZR&amp;n=347478&amp;dst=103148&amp;fld=134&amp;date=29.04.2020" TargetMode="External"/><Relationship Id="rId18" Type="http://schemas.openxmlformats.org/officeDocument/2006/relationships/hyperlink" Target="consultantplus://offline/ref=6260E412E5BBC88DE75CCA38FA7AF456AD738F848D0176ABC21F2CA7E72CA9C6344A0653CCC49A15UCvA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2190E8AD56554FB7DE7CF5B5F3ACF01&amp;req=doc&amp;base=RZR&amp;n=347478&amp;dst=103148&amp;fld=134&amp;date=29.04.202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92190E8AD56554FB7DE7CF5B5F3ACF01&amp;req=doc&amp;base=RZR&amp;n=347478&amp;dst=103142&amp;fld=134&amp;date=29.04.2020" TargetMode="External"/><Relationship Id="rId17" Type="http://schemas.openxmlformats.org/officeDocument/2006/relationships/hyperlink" Target="consultantplus://offline/ref=5836F0B3B8EBC6C560A4E1CF1F72D09C72F70C25ED9604DCA06F8689BCA373A772ED842083A7FD7Ba2k2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2190E8AD56554FB7DE7CF5B5F3ACF01&amp;req=doc&amp;base=RZR&amp;n=347478&amp;dst=4420&amp;fld=134&amp;date=29.04.2020" TargetMode="External"/><Relationship Id="rId20" Type="http://schemas.openxmlformats.org/officeDocument/2006/relationships/hyperlink" Target="https://login.consultant.ru/link/?rnd=92190E8AD56554FB7DE7CF5B5F3ACF01&amp;req=doc&amp;base=RZR&amp;n=347478&amp;dst=103142&amp;fld=134&amp;date=29.04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190E8AD56554FB7DE7CF5B5F3ACF01&amp;req=doc&amp;base=RZR&amp;n=283010&amp;dst=100175&amp;fld=134&amp;REFFIELD=134&amp;REFDST=1000001062&amp;REFDOC=347478&amp;REFBASE=RZR&amp;stat=refcode%3D19827%3Bdstident%3D100175%3Bindex%3D2141&amp;date=29.04.2020" TargetMode="External"/><Relationship Id="rId24" Type="http://schemas.openxmlformats.org/officeDocument/2006/relationships/hyperlink" Target="https://login.consultant.ru/link/?rnd=92190E8AD56554FB7DE7CF5B5F3ACF01&amp;req=doc&amp;base=RZR&amp;n=347478&amp;dst=4420&amp;fld=134&amp;date=29.04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2190E8AD56554FB7DE7CF5B5F3ACF01&amp;req=doc&amp;base=RZR&amp;n=347478&amp;dst=4455&amp;fld=134&amp;date=29.04.2020" TargetMode="External"/><Relationship Id="rId23" Type="http://schemas.openxmlformats.org/officeDocument/2006/relationships/hyperlink" Target="https://login.consultant.ru/link/?rnd=92190E8AD56554FB7DE7CF5B5F3ACF01&amp;req=doc&amp;base=RZR&amp;n=347478&amp;dst=4455&amp;fld=134&amp;date=29.04.2020" TargetMode="External"/><Relationship Id="rId10" Type="http://schemas.openxmlformats.org/officeDocument/2006/relationships/hyperlink" Target="consultantplus://offline/ref=6260E412E5BBC88DE75CCA38FA7AF456AD738F848D0176ABC21F2CA7E72CA9C6344A0653CCC49A15UCvAH" TargetMode="External"/><Relationship Id="rId19" Type="http://schemas.openxmlformats.org/officeDocument/2006/relationships/hyperlink" Target="https://login.consultant.ru/link/?rnd=92190E8AD56554FB7DE7CF5B5F3ACF01&amp;req=doc&amp;base=RZR&amp;n=283010&amp;dst=100175&amp;fld=134&amp;REFFIELD=134&amp;REFDST=1000001062&amp;REFDOC=347478&amp;REFBASE=RZR&amp;stat=refcode%3D19827%3Bdstident%3D100175%3Bindex%3D2141&amp;date=29.04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36F0B3B8EBC6C560A4E1CF1F72D09C72F70C25ED9604DCA06F8689BCA373A772ED842083A7FD7Ba2k2G" TargetMode="External"/><Relationship Id="rId14" Type="http://schemas.openxmlformats.org/officeDocument/2006/relationships/hyperlink" Target="https://login.consultant.ru/link/?rnd=92190E8AD56554FB7DE7CF5B5F3ACF01&amp;req=doc&amp;base=RZR&amp;n=347478&amp;dst=103154&amp;fld=134&amp;date=29.04.2020" TargetMode="External"/><Relationship Id="rId22" Type="http://schemas.openxmlformats.org/officeDocument/2006/relationships/hyperlink" Target="https://login.consultant.ru/link/?rnd=92190E8AD56554FB7DE7CF5B5F3ACF01&amp;req=doc&amp;base=RZR&amp;n=347478&amp;dst=103154&amp;fld=134&amp;date=29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1F4E-B21D-48AE-A96B-CD0640B6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17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879</cp:revision>
  <dcterms:created xsi:type="dcterms:W3CDTF">2018-04-16T15:23:00Z</dcterms:created>
  <dcterms:modified xsi:type="dcterms:W3CDTF">2020-05-13T12:55:00Z</dcterms:modified>
</cp:coreProperties>
</file>