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A21E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1644E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информация о ходе исполнения бюджета Суражского муниципального района за 1 квартал  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EC">
        <w:rPr>
          <w:rFonts w:ascii="Times New Roman" w:eastAsia="Times New Roman" w:hAnsi="Times New Roman" w:cs="Times New Roman"/>
          <w:sz w:val="28"/>
          <w:szCs w:val="28"/>
        </w:rPr>
        <w:t>286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>Суражского районного Совета народных депутатов от 16.12.2020г. № 97 «О бюджете Суражского муниципального района на 2021 год и на плановый период 2022 и 2023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E400D">
        <w:rPr>
          <w:rFonts w:ascii="Times New Roman" w:hAnsi="Times New Roman"/>
          <w:sz w:val="28"/>
          <w:szCs w:val="28"/>
        </w:rPr>
        <w:t>40164,6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4E400D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8B0635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</w:t>
      </w:r>
      <w:r w:rsidR="007A63B4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7A63B4">
        <w:rPr>
          <w:rFonts w:ascii="Times New Roman" w:hAnsi="Times New Roman"/>
          <w:sz w:val="28"/>
          <w:szCs w:val="28"/>
        </w:rPr>
        <w:t>1 раз</w:t>
      </w:r>
      <w:r w:rsidR="007A63B4" w:rsidRPr="007A63B4">
        <w:rPr>
          <w:rFonts w:ascii="Times New Roman" w:hAnsi="Times New Roman"/>
          <w:sz w:val="28"/>
          <w:szCs w:val="28"/>
        </w:rPr>
        <w:t xml:space="preserve"> </w:t>
      </w:r>
      <w:r w:rsidR="007A63B4">
        <w:rPr>
          <w:rFonts w:ascii="Times New Roman" w:hAnsi="Times New Roman"/>
          <w:sz w:val="28"/>
          <w:szCs w:val="28"/>
        </w:rPr>
        <w:t>вносились и</w:t>
      </w:r>
      <w:r w:rsidR="007A63B4" w:rsidRPr="001D342E">
        <w:rPr>
          <w:rFonts w:ascii="Times New Roman" w:hAnsi="Times New Roman"/>
          <w:sz w:val="28"/>
          <w:szCs w:val="28"/>
        </w:rPr>
        <w:t>зменения</w:t>
      </w:r>
      <w:r w:rsidR="007A63B4">
        <w:rPr>
          <w:rFonts w:ascii="Times New Roman" w:hAnsi="Times New Roman"/>
          <w:sz w:val="28"/>
          <w:szCs w:val="28"/>
        </w:rPr>
        <w:t xml:space="preserve"> (от 26.02.2021 года № 119).</w:t>
      </w:r>
    </w:p>
    <w:p w:rsidR="007A63B4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внесенных изменений:</w:t>
      </w:r>
    </w:p>
    <w:p w:rsidR="007A63B4" w:rsidRPr="004331B5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>Доходы бюджета не изменились и составили 401</w:t>
      </w:r>
      <w:r w:rsidR="00455DA8" w:rsidRPr="004331B5">
        <w:rPr>
          <w:rFonts w:ascii="Times New Roman" w:hAnsi="Times New Roman"/>
          <w:sz w:val="28"/>
          <w:szCs w:val="28"/>
        </w:rPr>
        <w:t>964,6</w:t>
      </w:r>
      <w:r w:rsidRPr="004331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711CD" w:rsidRDefault="007A63B4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t xml:space="preserve">Расходы бюджета увеличились на </w:t>
      </w:r>
      <w:r w:rsidR="00A04086" w:rsidRPr="004331B5">
        <w:rPr>
          <w:rFonts w:ascii="Times New Roman" w:hAnsi="Times New Roman"/>
          <w:sz w:val="28"/>
          <w:szCs w:val="28"/>
        </w:rPr>
        <w:t>1,8</w:t>
      </w:r>
      <w:r w:rsidRPr="004331B5">
        <w:rPr>
          <w:rFonts w:ascii="Times New Roman" w:hAnsi="Times New Roman"/>
          <w:sz w:val="28"/>
          <w:szCs w:val="28"/>
        </w:rPr>
        <w:t xml:space="preserve">%, и составили </w:t>
      </w:r>
      <w:r w:rsidR="0078507B" w:rsidRPr="004331B5">
        <w:rPr>
          <w:rFonts w:ascii="Times New Roman" w:hAnsi="Times New Roman"/>
          <w:sz w:val="28"/>
          <w:szCs w:val="28"/>
        </w:rPr>
        <w:t>40</w:t>
      </w:r>
      <w:r w:rsidR="00E711CD" w:rsidRPr="004331B5">
        <w:rPr>
          <w:rFonts w:ascii="Times New Roman" w:hAnsi="Times New Roman"/>
          <w:sz w:val="28"/>
          <w:szCs w:val="28"/>
        </w:rPr>
        <w:t>9299,9 тыс. рублей.</w:t>
      </w:r>
    </w:p>
    <w:p w:rsidR="003D78AE" w:rsidRDefault="003D78AE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составил 7335,3 тыс. рублей.</w:t>
      </w:r>
    </w:p>
    <w:p w:rsidR="00247FA2" w:rsidRPr="001D342E" w:rsidRDefault="00E711CD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331B5">
        <w:rPr>
          <w:rFonts w:ascii="Times New Roman" w:hAnsi="Times New Roman"/>
          <w:sz w:val="28"/>
          <w:szCs w:val="28"/>
        </w:rPr>
        <w:lastRenderedPageBreak/>
        <w:t>И</w:t>
      </w:r>
      <w:r w:rsidR="00247FA2" w:rsidRPr="004331B5">
        <w:rPr>
          <w:rFonts w:ascii="Times New Roman" w:hAnsi="Times New Roman"/>
          <w:sz w:val="28"/>
          <w:szCs w:val="28"/>
        </w:rPr>
        <w:t xml:space="preserve">сполнение за 1 квартал </w:t>
      </w:r>
      <w:r w:rsidR="005E213D" w:rsidRPr="004331B5">
        <w:rPr>
          <w:rFonts w:ascii="Times New Roman" w:hAnsi="Times New Roman"/>
          <w:sz w:val="28"/>
          <w:szCs w:val="28"/>
        </w:rPr>
        <w:t>20</w:t>
      </w:r>
      <w:r w:rsidR="008B0635" w:rsidRPr="004331B5">
        <w:rPr>
          <w:rFonts w:ascii="Times New Roman" w:hAnsi="Times New Roman"/>
          <w:sz w:val="28"/>
          <w:szCs w:val="28"/>
        </w:rPr>
        <w:t>2</w:t>
      </w:r>
      <w:r w:rsidR="00154B0B">
        <w:rPr>
          <w:rFonts w:ascii="Times New Roman" w:hAnsi="Times New Roman"/>
          <w:sz w:val="28"/>
          <w:szCs w:val="28"/>
        </w:rPr>
        <w:t>1</w:t>
      </w:r>
      <w:r w:rsidR="00247FA2" w:rsidRPr="004331B5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4331B5">
        <w:rPr>
          <w:rFonts w:ascii="Times New Roman" w:hAnsi="Times New Roman"/>
          <w:sz w:val="28"/>
          <w:szCs w:val="28"/>
        </w:rPr>
        <w:t>у</w:t>
      </w:r>
      <w:r w:rsidR="00247FA2" w:rsidRPr="004331B5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154B0B">
        <w:rPr>
          <w:rFonts w:ascii="Times New Roman" w:hAnsi="Times New Roman"/>
          <w:sz w:val="28"/>
          <w:szCs w:val="28"/>
        </w:rPr>
        <w:t>84426,9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154B0B">
        <w:rPr>
          <w:rFonts w:ascii="Times New Roman" w:hAnsi="Times New Roman"/>
          <w:sz w:val="28"/>
          <w:szCs w:val="28"/>
        </w:rPr>
        <w:t>90544,7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52163E">
        <w:rPr>
          <w:rFonts w:ascii="Times New Roman" w:hAnsi="Times New Roman"/>
          <w:sz w:val="28"/>
          <w:szCs w:val="28"/>
        </w:rPr>
        <w:t>5117,8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154B0B">
        <w:rPr>
          <w:rFonts w:ascii="Times New Roman" w:hAnsi="Times New Roman"/>
          <w:sz w:val="28"/>
          <w:szCs w:val="28"/>
        </w:rPr>
        <w:t>1 квартал 2021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6704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70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C72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00EA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84643,7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3800EA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3800EA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3800EA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92218,3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3800EA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-7574,6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0EA" w:rsidRPr="008B551E" w:rsidRDefault="003800EA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0EA" w:rsidRPr="003800EA" w:rsidRDefault="003800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0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154B0B">
        <w:rPr>
          <w:rFonts w:ascii="Times New Roman" w:hAnsi="Times New Roman"/>
          <w:sz w:val="28"/>
          <w:szCs w:val="28"/>
        </w:rPr>
        <w:t>1 квартал 2021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21,3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9B2D3C">
        <w:rPr>
          <w:rFonts w:ascii="Times New Roman" w:hAnsi="Times New Roman"/>
          <w:sz w:val="28"/>
          <w:szCs w:val="28"/>
        </w:rPr>
        <w:t>20,9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9B2D3C">
        <w:rPr>
          <w:rFonts w:ascii="Times New Roman" w:hAnsi="Times New Roman"/>
          <w:sz w:val="28"/>
          <w:szCs w:val="28"/>
        </w:rPr>
        <w:t>783,2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9B2D3C">
        <w:rPr>
          <w:rFonts w:ascii="Times New Roman" w:hAnsi="Times New Roman"/>
          <w:sz w:val="28"/>
          <w:szCs w:val="28"/>
        </w:rPr>
        <w:t>0,9%</w:t>
      </w:r>
      <w:r w:rsidR="00EB0685">
        <w:rPr>
          <w:rFonts w:ascii="Times New Roman" w:hAnsi="Times New Roman"/>
          <w:sz w:val="28"/>
          <w:szCs w:val="28"/>
        </w:rPr>
        <w:t xml:space="preserve"> в основном за счет снижения 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на </w:t>
      </w:r>
      <w:r w:rsidR="009B2D3C">
        <w:rPr>
          <w:rFonts w:ascii="Times New Roman" w:hAnsi="Times New Roman"/>
          <w:sz w:val="28"/>
          <w:szCs w:val="28"/>
        </w:rPr>
        <w:t>1190,6</w:t>
      </w:r>
      <w:r w:rsidR="00EB0685">
        <w:rPr>
          <w:rFonts w:ascii="Times New Roman" w:hAnsi="Times New Roman"/>
          <w:sz w:val="28"/>
          <w:szCs w:val="28"/>
        </w:rPr>
        <w:t xml:space="preserve"> тыс. рублей (</w:t>
      </w:r>
      <w:r w:rsidR="009B2D3C">
        <w:rPr>
          <w:rFonts w:ascii="Times New Roman" w:hAnsi="Times New Roman"/>
          <w:sz w:val="28"/>
          <w:szCs w:val="28"/>
        </w:rPr>
        <w:t>4,6</w:t>
      </w:r>
      <w:r w:rsidR="00EB0685">
        <w:rPr>
          <w:rFonts w:ascii="Times New Roman" w:hAnsi="Times New Roman"/>
          <w:sz w:val="28"/>
          <w:szCs w:val="28"/>
        </w:rPr>
        <w:t>%)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EB0685">
        <w:rPr>
          <w:rFonts w:ascii="Times New Roman" w:hAnsi="Times New Roman"/>
          <w:sz w:val="28"/>
          <w:szCs w:val="28"/>
        </w:rPr>
        <w:t>1 квартала 202</w:t>
      </w:r>
      <w:r w:rsidR="009B2D3C">
        <w:rPr>
          <w:rFonts w:ascii="Times New Roman" w:hAnsi="Times New Roman"/>
          <w:sz w:val="28"/>
          <w:szCs w:val="28"/>
        </w:rPr>
        <w:t>1</w:t>
      </w:r>
      <w:r w:rsidR="00EB0685">
        <w:rPr>
          <w:rFonts w:ascii="Times New Roman" w:hAnsi="Times New Roman"/>
          <w:sz w:val="28"/>
          <w:szCs w:val="28"/>
        </w:rPr>
        <w:t xml:space="preserve"> года </w:t>
      </w:r>
      <w:r w:rsidR="009B2D3C">
        <w:rPr>
          <w:rFonts w:ascii="Times New Roman" w:hAnsi="Times New Roman"/>
          <w:sz w:val="28"/>
          <w:szCs w:val="28"/>
        </w:rPr>
        <w:t>ниже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9B2D3C">
        <w:rPr>
          <w:rFonts w:ascii="Times New Roman" w:hAnsi="Times New Roman"/>
          <w:sz w:val="28"/>
          <w:szCs w:val="28"/>
        </w:rPr>
        <w:t>1,8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9B2D3C">
        <w:rPr>
          <w:rFonts w:ascii="Times New Roman" w:hAnsi="Times New Roman"/>
          <w:sz w:val="28"/>
          <w:szCs w:val="28"/>
        </w:rPr>
        <w:t>1673,6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8A1B2B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154B0B" w:rsidRPr="008A1B2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 w:rsidRPr="008A1B2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BE7AA3" w:rsidRPr="008A1B2B">
        <w:rPr>
          <w:rFonts w:ascii="Times New Roman" w:eastAsia="Times New Roman" w:hAnsi="Times New Roman" w:cs="Times New Roman"/>
          <w:sz w:val="28"/>
          <w:szCs w:val="28"/>
        </w:rPr>
        <w:t>401964,6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BE7AA3" w:rsidRPr="008A1B2B">
        <w:rPr>
          <w:rFonts w:ascii="Times New Roman" w:eastAsia="Times New Roman" w:hAnsi="Times New Roman" w:cs="Times New Roman"/>
          <w:sz w:val="28"/>
          <w:szCs w:val="28"/>
        </w:rPr>
        <w:t>85426,9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5233C" w:rsidRPr="008A1B2B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BE7AA3" w:rsidRPr="008A1B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96,6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72,0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–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2F5FD0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2AF3" w:rsidRPr="008A1B2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в 1 квартале </w:t>
      </w:r>
      <w:r w:rsidR="005E213D" w:rsidRPr="008A1B2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AB8" w:rsidRPr="008A1B2B">
        <w:rPr>
          <w:rFonts w:ascii="Times New Roman" w:eastAsia="Times New Roman" w:hAnsi="Times New Roman" w:cs="Times New Roman"/>
          <w:sz w:val="28"/>
          <w:szCs w:val="28"/>
        </w:rPr>
        <w:t>4,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8A1B2B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64,7%. </w:t>
      </w:r>
    </w:p>
    <w:p w:rsidR="00247FA2" w:rsidRPr="008A1B2B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8A1B2B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69,7%.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структуре безвозмездных поступлений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2021 года 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РФ  муниципальных образований –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66,5</w:t>
      </w:r>
      <w:r w:rsidR="00247FA2" w:rsidRPr="008A1B2B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 w:rsidRPr="008A1B2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FD24C9" w:rsidRPr="008A1B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877AB9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35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888"/>
        <w:gridCol w:w="888"/>
        <w:gridCol w:w="721"/>
        <w:gridCol w:w="942"/>
        <w:gridCol w:w="942"/>
        <w:gridCol w:w="851"/>
      </w:tblGrid>
      <w:tr w:rsidR="000212CB" w:rsidRPr="008B551E" w:rsidTr="00767CA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6F3B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0212CB" w:rsidRPr="008B551E" w:rsidRDefault="000212CB" w:rsidP="00AF50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F5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25686,4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127305,0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25495,8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24640,1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121398,0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24623,4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18173,8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17718,2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19558,0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9730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1,9 раза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4448,0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 w:rsidP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5,6 раза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1046,3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5907,0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973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4E47B6" w:rsidRPr="008B551E" w:rsidTr="00767CA9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9730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4E47B6" w:rsidRPr="008B551E" w:rsidTr="00767CA9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4E47B6" w:rsidRPr="008B551E" w:rsidTr="00767CA9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7B6" w:rsidRPr="008B551E" w:rsidTr="00767CA9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E47B6" w:rsidRPr="008B551E" w:rsidTr="00767CA9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B765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 w:rsidP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4E47B6"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E47B6"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4E47B6" w:rsidRPr="008B551E" w:rsidTr="00767CA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58957,4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274659,6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59931,1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101,7</w:t>
            </w:r>
          </w:p>
        </w:tc>
      </w:tr>
      <w:tr w:rsidR="004E47B6" w:rsidRPr="008B551E" w:rsidTr="00767CA9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17060,7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51744,2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5,1 раза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41183,8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188193,3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39842,8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14221,8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888,7 раза </w:t>
            </w:r>
          </w:p>
        </w:tc>
      </w:tr>
      <w:tr w:rsidR="009F2555" w:rsidRPr="008B551E" w:rsidTr="00767CA9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55" w:rsidRPr="008B551E" w:rsidRDefault="009F2555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55" w:rsidRPr="000734D7" w:rsidRDefault="009F2555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2555" w:rsidRPr="000734D7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55" w:rsidRPr="000734D7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55" w:rsidRPr="000734D7" w:rsidRDefault="009F2555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9F2555" w:rsidRPr="000734D7" w:rsidRDefault="009F2555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55" w:rsidRPr="000734D7" w:rsidRDefault="009F2555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55" w:rsidRPr="004E47B6" w:rsidRDefault="009F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47B6" w:rsidRPr="008B551E" w:rsidTr="00767CA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7B6" w:rsidRPr="008B551E" w:rsidRDefault="004E47B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84643,8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401964,6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0734D7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85426,9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B6" w:rsidRPr="004E47B6" w:rsidRDefault="004E4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47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25495,8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29,8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1 квартала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190,6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бюджета  получена  в сумме </w:t>
      </w:r>
      <w:r w:rsidR="007D33FE">
        <w:rPr>
          <w:rFonts w:ascii="Times New Roman" w:eastAsia="Times New Roman" w:hAnsi="Times New Roman" w:cs="Times New Roman"/>
          <w:sz w:val="28"/>
          <w:szCs w:val="28"/>
        </w:rPr>
        <w:t>59931,</w:t>
      </w:r>
      <w:r w:rsidR="007D33FE" w:rsidRPr="007D33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70,2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1 кварталом </w:t>
      </w:r>
      <w:r w:rsidR="00154B0B" w:rsidRPr="007D33F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proofErr w:type="gramEnd"/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973,7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1,7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17718,2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455,6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72,0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2021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4385,5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2021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206,6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1000,5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438,1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362,7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100,8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169,4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 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898,0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739,0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в 5,6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поступила в объеме </w:t>
      </w:r>
      <w:r w:rsidR="00B917DF">
        <w:rPr>
          <w:rFonts w:ascii="Times New Roman" w:eastAsia="Times New Roman" w:hAnsi="Times New Roman" w:cs="Times New Roman"/>
          <w:sz w:val="28"/>
          <w:szCs w:val="28"/>
        </w:rPr>
        <w:t>258,7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917DF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lastRenderedPageBreak/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237,8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219,3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458,1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67,6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25,1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215,5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44,9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47,2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24,7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1478D" w:rsidRDefault="00247FA2" w:rsidP="00D4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51478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015A3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за 1 квартал 2021 года поступили в бюджет в сумме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 xml:space="preserve">245,7 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23,4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245,7 тыс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28,2</w:t>
      </w:r>
      <w:r w:rsidR="00015A33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141,0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43,1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74BD0" w:rsidRPr="00BC2401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50,9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 xml:space="preserve">в 5,1 раза превышает плановый показатель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росписи), по сравнению с  аналогичным  периодом прошлого года произошло 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в 101,8 раза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015A33">
        <w:rPr>
          <w:rFonts w:ascii="Times New Roman" w:eastAsia="Times New Roman" w:hAnsi="Times New Roman" w:cs="Times New Roman"/>
          <w:sz w:val="28"/>
          <w:szCs w:val="28"/>
        </w:rPr>
        <w:t>5,8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12936,0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4124,7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за 1 квартал 2021 года поступили в бюджет в сумме 3597,3 тыс. рублей (17,5% к уточненной бюджетной росписи), по сравнению с  аналогичным  периодом прошлого года произошло увеличение на 2888,4 тыс. рублей, или в 5,1 раза%. В структуре безвозмездных поступлений субвенции составляют 6,0%. </w:t>
      </w:r>
      <w:r w:rsidR="00E635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proofErr w:type="gramEnd"/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39842,8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21,2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1341,0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на 3,3%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66,5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3554,9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3550,9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в 888,7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3644F7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154B0B" w:rsidRPr="003644F7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 w:rsidRPr="003644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3644F7">
        <w:rPr>
          <w:rFonts w:ascii="Times New Roman" w:eastAsia="Times New Roman" w:hAnsi="Times New Roman" w:cs="Times New Roman"/>
          <w:sz w:val="28"/>
          <w:szCs w:val="28"/>
        </w:rPr>
        <w:t>434214,7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644F7">
        <w:rPr>
          <w:rFonts w:ascii="Times New Roman" w:eastAsia="Times New Roman" w:hAnsi="Times New Roman" w:cs="Times New Roman"/>
          <w:sz w:val="28"/>
          <w:szCs w:val="28"/>
        </w:rPr>
        <w:t>90544,7 ты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3644F7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3644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364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3644F7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E26F4C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71,6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431C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E325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CE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F4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9847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 2021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7227,1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7472,2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01E82" w:rsidRPr="008B551E" w:rsidTr="00E826B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301E82" w:rsidRPr="008B551E" w:rsidTr="00E826B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64840,0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6627,1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B43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01E82" w:rsidRPr="008B551E" w:rsidTr="00E826B0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301E82" w:rsidRPr="008B551E" w:rsidTr="00E826B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203D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92218,4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A32805" w:rsidRDefault="00301E82" w:rsidP="00203D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28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82" w:rsidRPr="008B551E" w:rsidRDefault="00301E82" w:rsidP="001D4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90544,7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E82" w:rsidRPr="00301E82" w:rsidRDefault="00301E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существенные изменения в структуре наблюдаются по разделам: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ОБРАЗОВАНИЕ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+ 6,2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НАЦИОНАЛЬНАЯ ЭКОНОМИКА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-3,4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66B05" w:rsidRPr="00702E18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E1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C75AA2" w:rsidRPr="008B551E">
        <w:rPr>
          <w:rFonts w:ascii="Times New Roman" w:eastAsia="Times New Roman" w:hAnsi="Times New Roman" w:cs="Times New Roman"/>
          <w:sz w:val="20"/>
          <w:szCs w:val="20"/>
        </w:rPr>
        <w:t>ФИЗИЧЕСКАЯ КУЛЬТУРА И СПОРТ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C75AA2">
        <w:rPr>
          <w:rFonts w:ascii="Times New Roman" w:eastAsia="Times New Roman" w:hAnsi="Times New Roman" w:cs="Times New Roman"/>
          <w:sz w:val="28"/>
          <w:szCs w:val="28"/>
        </w:rPr>
        <w:t>- 4,9</w:t>
      </w:r>
      <w:r w:rsidRPr="00702E18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Анализ расходных обязательств за </w:t>
      </w:r>
      <w:r w:rsidR="00154B0B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2021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0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32"/>
        <w:gridCol w:w="1032"/>
        <w:gridCol w:w="636"/>
        <w:gridCol w:w="992"/>
        <w:gridCol w:w="909"/>
      </w:tblGrid>
      <w:tr w:rsidR="001F570D" w:rsidRPr="00B9286C" w:rsidTr="0053586E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A115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434214,7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92218,3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90544,7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03FC2" w:rsidRPr="00B9286C" w:rsidTr="00414292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903FC2" w:rsidRPr="00B9286C" w:rsidTr="00414292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903FC2" w:rsidRPr="00B9286C" w:rsidTr="0041429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903FC2" w:rsidRPr="00B9286C" w:rsidTr="0053586E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3FC2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3FC2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3FC2">
              <w:rPr>
                <w:rFonts w:ascii="Times New Roman" w:hAnsi="Times New Roman" w:cs="Times New Roman"/>
                <w:color w:val="000000"/>
              </w:rPr>
              <w:t>113,3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</w:tr>
      <w:tr w:rsidR="00903FC2" w:rsidRPr="00B9286C" w:rsidTr="0041429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-3081,5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196,4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</w:t>
            </w:r>
          </w:p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482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6,5 раза</w:t>
            </w:r>
          </w:p>
        </w:tc>
      </w:tr>
      <w:tr w:rsidR="00482619" w:rsidRPr="00B9286C" w:rsidTr="00414292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B9286C" w:rsidRDefault="0048261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B9286C" w:rsidRDefault="0048261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B9286C" w:rsidRDefault="0048261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ED5D44" w:rsidRDefault="00482619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ED5D44" w:rsidRDefault="00482619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619" w:rsidRPr="00ED5D44" w:rsidRDefault="00482619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619" w:rsidRPr="00903FC2" w:rsidRDefault="00482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619" w:rsidRPr="00903FC2" w:rsidRDefault="00482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619" w:rsidRPr="00903FC2" w:rsidRDefault="00482619" w:rsidP="00203D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6,5 раза</w:t>
            </w:r>
          </w:p>
        </w:tc>
      </w:tr>
      <w:tr w:rsidR="00903FC2" w:rsidRPr="00B9286C" w:rsidTr="00414292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283504,6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60353,6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55302,5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197081,2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</w:tr>
      <w:tr w:rsidR="00903FC2" w:rsidRPr="00B9286C" w:rsidTr="00414292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6528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2,4 раза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28512,6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903FC2" w:rsidRPr="00B9286C" w:rsidTr="00414292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40668,4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03FC2" w:rsidRPr="00B9286C" w:rsidTr="00414292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-2495,7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897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3FC2" w:rsidRPr="00B9286C" w:rsidTr="0041429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</w:t>
            </w:r>
          </w:p>
        </w:tc>
      </w:tr>
      <w:tr w:rsidR="00903FC2" w:rsidRPr="00B9286C" w:rsidTr="0041429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</w:tr>
      <w:tr w:rsidR="00903FC2" w:rsidRPr="00B9286C" w:rsidTr="0041429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903FC2" w:rsidRPr="00B9286C" w:rsidTr="0041429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B9286C" w:rsidRDefault="00903FC2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20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FC2" w:rsidRPr="00ED5D44" w:rsidRDefault="00903FC2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FC2" w:rsidRPr="00903FC2" w:rsidRDefault="00903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504BCB">
        <w:rPr>
          <w:rFonts w:ascii="Times New Roman" w:eastAsia="Times New Roman" w:hAnsi="Times New Roman" w:cs="Times New Roman"/>
          <w:bCs/>
          <w:sz w:val="28"/>
          <w:szCs w:val="28"/>
        </w:rPr>
        <w:t>20,9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BD6FCD">
        <w:rPr>
          <w:rFonts w:ascii="Times New Roman" w:eastAsia="Times New Roman" w:hAnsi="Times New Roman" w:cs="Times New Roman"/>
          <w:bCs/>
          <w:sz w:val="28"/>
          <w:szCs w:val="28"/>
        </w:rPr>
        <w:t>20,9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1F44D3" w:rsidRDefault="001F44D3" w:rsidP="001F4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- </w:t>
      </w:r>
      <w:r>
        <w:rPr>
          <w:rFonts w:ascii="Times New Roman" w:eastAsia="Times New Roman" w:hAnsi="Times New Roman" w:cs="Times New Roman"/>
          <w:sz w:val="28"/>
          <w:szCs w:val="28"/>
        </w:rPr>
        <w:t>8,6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7472,2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06E99" w:rsidRPr="007820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245,1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1092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224,1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16,3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4137,3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20,4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1299,9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1699,6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3635A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194,7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896,0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22,2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266,7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307969">
        <w:rPr>
          <w:rFonts w:ascii="Times New Roman" w:eastAsia="Times New Roman" w:hAnsi="Times New Roman" w:cs="Times New Roman"/>
          <w:sz w:val="28"/>
          <w:szCs w:val="28"/>
        </w:rPr>
        <w:t>42,4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1763,2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ниже уровня аналогичного периода прошлого года на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3081,5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на 63,6%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 xml:space="preserve">921,2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22,0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313,3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523,7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 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814,4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F7DA8">
        <w:rPr>
          <w:rFonts w:ascii="Times New Roman" w:eastAsia="Times New Roman" w:hAnsi="Times New Roman" w:cs="Times New Roman"/>
          <w:sz w:val="28"/>
          <w:szCs w:val="28"/>
        </w:rPr>
        <w:t>30,4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>688,4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7C6F73">
        <w:rPr>
          <w:rFonts w:ascii="Times New Roman" w:eastAsia="Times New Roman" w:hAnsi="Times New Roman" w:cs="Times New Roman"/>
          <w:sz w:val="28"/>
          <w:szCs w:val="28"/>
        </w:rPr>
        <w:t>в 6,5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814,4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85,7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2021 года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64840,0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22,9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71,6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4486,1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13889,0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43838,9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22,2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5175,7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8F120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2466,8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7479,6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852,5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5900,3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1579,3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5788,1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194,0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401,1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17,1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33,6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5062,5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48400F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переданных полномочий субъекта РФ в части социальной поддержки и социального обслуживания детей – сирот и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48400F" w:rsidRPr="0048400F">
        <w:rPr>
          <w:rFonts w:ascii="Times New Roman" w:eastAsia="Times New Roman" w:hAnsi="Times New Roman" w:cs="Times New Roman"/>
          <w:iCs/>
          <w:sz w:val="28"/>
          <w:szCs w:val="28"/>
        </w:rPr>
        <w:t>290,8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что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51992" w:rsidRPr="00051992">
        <w:rPr>
          <w:rFonts w:ascii="Times New Roman" w:eastAsia="Times New Roman" w:hAnsi="Times New Roman" w:cs="Times New Roman"/>
          <w:sz w:val="28"/>
          <w:szCs w:val="28"/>
        </w:rPr>
        <w:t>3,6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39,4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0,04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4570,5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0E38">
        <w:rPr>
          <w:rFonts w:ascii="Times New Roman" w:eastAsia="Times New Roman" w:hAnsi="Times New Roman" w:cs="Times New Roman"/>
          <w:sz w:val="28"/>
          <w:szCs w:val="28"/>
        </w:rPr>
        <w:t>117,0 раз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39,4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1257,0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389,7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E2D73">
        <w:rPr>
          <w:rFonts w:ascii="Times New Roman" w:eastAsia="Times New Roman" w:hAnsi="Times New Roman" w:cs="Times New Roman"/>
          <w:sz w:val="28"/>
          <w:szCs w:val="28"/>
        </w:rPr>
        <w:t>23,7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96DE5">
        <w:rPr>
          <w:rFonts w:ascii="Times New Roman" w:eastAsia="Times New Roman" w:hAnsi="Times New Roman" w:cs="Times New Roman"/>
          <w:sz w:val="28"/>
          <w:szCs w:val="28"/>
        </w:rPr>
        <w:t>257,0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96DE5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EA25F7">
        <w:rPr>
          <w:rFonts w:ascii="Times New Roman" w:eastAsia="Times New Roman" w:hAnsi="Times New Roman" w:cs="Times New Roman"/>
          <w:sz w:val="28"/>
          <w:szCs w:val="28"/>
        </w:rPr>
        <w:t>1000,0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25F7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1979CA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20</w:t>
      </w:r>
      <w:r>
        <w:rPr>
          <w:rFonts w:ascii="Times New Roman" w:hAnsi="Times New Roman"/>
          <w:sz w:val="28"/>
          <w:szCs w:val="28"/>
        </w:rPr>
        <w:t>21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решение о бюджете 1 раз</w:t>
      </w:r>
      <w:r w:rsidRPr="007A6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вносились и</w:t>
      </w:r>
      <w:r w:rsidRPr="001D342E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(от 26.02.2021 года № 119)</w:t>
      </w:r>
      <w:r>
        <w:rPr>
          <w:rFonts w:ascii="Times New Roman" w:hAnsi="Times New Roman"/>
          <w:sz w:val="28"/>
          <w:szCs w:val="28"/>
        </w:rPr>
        <w:t>, в результате чего у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твержден дефицит бюджета в сумме </w:t>
      </w:r>
      <w:r>
        <w:rPr>
          <w:rFonts w:ascii="Times New Roman" w:hAnsi="Times New Roman"/>
          <w:sz w:val="28"/>
          <w:szCs w:val="28"/>
        </w:rPr>
        <w:t>7335,3 тыс. рублей.</w:t>
      </w:r>
      <w:r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счете на 01.01.2021 года составлял 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7335,4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340EE" w:rsidRPr="002616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>5117,8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ED2B97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72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ED2B97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1979CA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="001979CA">
        <w:rPr>
          <w:rFonts w:ascii="Times New Roman" w:hAnsi="Times New Roman"/>
          <w:sz w:val="28"/>
          <w:szCs w:val="28"/>
        </w:rPr>
        <w:t xml:space="preserve">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5AF3">
        <w:rPr>
          <w:rFonts w:ascii="Times New Roman" w:hAnsi="Times New Roman"/>
          <w:sz w:val="28"/>
          <w:szCs w:val="28"/>
        </w:rPr>
        <w:t>16.12.2020г. № 97 «О бюджете Суражского муниципального района на 2021 год и на плановый период 2022 и 2023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169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430960,7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AC65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434214,7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415"/>
        <w:gridCol w:w="1209"/>
        <w:gridCol w:w="992"/>
        <w:gridCol w:w="928"/>
        <w:gridCol w:w="1162"/>
        <w:gridCol w:w="1169"/>
      </w:tblGrid>
      <w:tr w:rsidR="000F7D55" w:rsidRPr="0046401E" w:rsidTr="004B4AA1">
        <w:trPr>
          <w:trHeight w:val="138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1171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7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32376C" w:rsidRPr="0046401E" w:rsidTr="00D83C01">
        <w:trPr>
          <w:trHeight w:val="6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76C" w:rsidRPr="0046401E" w:rsidRDefault="0032376C" w:rsidP="000421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376C" w:rsidRPr="0046401E" w:rsidRDefault="0032376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22442,2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32376C" w:rsidRPr="0046401E" w:rsidTr="00D83C01">
        <w:trPr>
          <w:trHeight w:val="46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76C" w:rsidRPr="0046401E" w:rsidRDefault="0032376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376C" w:rsidRPr="0046401E" w:rsidRDefault="0032376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2394,1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32376C" w:rsidRPr="0046401E" w:rsidTr="00D83C01">
        <w:trPr>
          <w:trHeight w:val="46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76C" w:rsidRPr="0046401E" w:rsidRDefault="0032376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376C" w:rsidRPr="0046401E" w:rsidRDefault="0032376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64320,5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32376C" w:rsidRPr="0046401E" w:rsidTr="00D83C01">
        <w:trPr>
          <w:trHeight w:val="469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6C" w:rsidRPr="0046401E" w:rsidRDefault="0032376C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76C" w:rsidRPr="0046401E" w:rsidRDefault="0032376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891,8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32376C" w:rsidRPr="0046401E" w:rsidTr="00D83C01">
        <w:trPr>
          <w:trHeight w:val="315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76C" w:rsidRPr="0046401E" w:rsidRDefault="0032376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376C" w:rsidRPr="0046401E" w:rsidRDefault="0032376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430960,7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91720,2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90048,6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76C" w:rsidRPr="0032376C" w:rsidRDefault="003237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 xml:space="preserve">В 1 квартале 2021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C0127B">
        <w:rPr>
          <w:rFonts w:ascii="Times New Roman" w:hAnsi="Times New Roman"/>
          <w:sz w:val="28"/>
          <w:szCs w:val="28"/>
        </w:rPr>
        <w:t>90048,6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4648AA">
        <w:rPr>
          <w:rFonts w:ascii="Times New Roman" w:hAnsi="Times New Roman"/>
          <w:sz w:val="28"/>
          <w:szCs w:val="28"/>
        </w:rPr>
        <w:t>20,9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648AA">
        <w:rPr>
          <w:rFonts w:ascii="Times New Roman" w:hAnsi="Times New Roman"/>
          <w:sz w:val="28"/>
          <w:szCs w:val="28"/>
        </w:rPr>
        <w:t>ниже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4648AA">
        <w:rPr>
          <w:rFonts w:ascii="Times New Roman" w:hAnsi="Times New Roman"/>
          <w:sz w:val="28"/>
          <w:szCs w:val="28"/>
        </w:rPr>
        <w:t>1,8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223F47" w:rsidRDefault="00310580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80">
        <w:rPr>
          <w:rFonts w:ascii="Times New Roman" w:hAnsi="Times New Roman"/>
          <w:sz w:val="28"/>
          <w:szCs w:val="28"/>
        </w:rPr>
        <w:t xml:space="preserve">Ниже 25% исполнение сложилось по </w:t>
      </w:r>
      <w:r w:rsidR="00223F47">
        <w:rPr>
          <w:rFonts w:ascii="Times New Roman" w:hAnsi="Times New Roman"/>
          <w:sz w:val="28"/>
          <w:szCs w:val="28"/>
        </w:rPr>
        <w:t xml:space="preserve">3 </w:t>
      </w:r>
      <w:r w:rsidRPr="00310580">
        <w:rPr>
          <w:rFonts w:ascii="Times New Roman" w:hAnsi="Times New Roman"/>
          <w:sz w:val="28"/>
          <w:szCs w:val="28"/>
        </w:rPr>
        <w:t>программ</w:t>
      </w:r>
      <w:r w:rsidR="00223F47">
        <w:rPr>
          <w:rFonts w:ascii="Times New Roman" w:hAnsi="Times New Roman"/>
          <w:sz w:val="28"/>
          <w:szCs w:val="28"/>
        </w:rPr>
        <w:t>ам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C0127B">
        <w:rPr>
          <w:rFonts w:ascii="Times New Roman" w:eastAsia="Times New Roman" w:hAnsi="Times New Roman" w:cs="Times New Roman"/>
          <w:sz w:val="28"/>
          <w:szCs w:val="28"/>
        </w:rPr>
        <w:t>3254,0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C0127B">
        <w:rPr>
          <w:rFonts w:ascii="Times New Roman" w:eastAsia="Times New Roman" w:hAnsi="Times New Roman" w:cs="Times New Roman"/>
          <w:sz w:val="28"/>
          <w:szCs w:val="28"/>
        </w:rPr>
        <w:t>496,1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0127B">
        <w:rPr>
          <w:rFonts w:ascii="Times New Roman" w:eastAsia="Times New Roman" w:hAnsi="Times New Roman" w:cs="Times New Roman"/>
          <w:sz w:val="28"/>
          <w:szCs w:val="28"/>
        </w:rPr>
        <w:t>15,2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>1 квартал 2021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DC465E" w:rsidRDefault="00247FA2" w:rsidP="00DC465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DC4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lastRenderedPageBreak/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154B0B">
        <w:rPr>
          <w:rFonts w:ascii="Times New Roman" w:hAnsi="Times New Roman"/>
          <w:sz w:val="28"/>
          <w:szCs w:val="28"/>
        </w:rPr>
        <w:t>1 квартал 2021</w:t>
      </w:r>
      <w:r w:rsidR="0035233C">
        <w:rPr>
          <w:rFonts w:ascii="Times New Roman" w:hAnsi="Times New Roman"/>
          <w:sz w:val="28"/>
          <w:szCs w:val="28"/>
        </w:rPr>
        <w:t xml:space="preserve">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154B0B">
        <w:rPr>
          <w:rFonts w:ascii="Times New Roman" w:hAnsi="Times New Roman"/>
          <w:sz w:val="28"/>
          <w:szCs w:val="28"/>
        </w:rPr>
        <w:t>1 квартал 2021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223F47">
        <w:rPr>
          <w:rFonts w:ascii="Times New Roman" w:hAnsi="Times New Roman"/>
          <w:sz w:val="28"/>
          <w:szCs w:val="28"/>
        </w:rPr>
        <w:t>85426,9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223F47">
        <w:rPr>
          <w:rFonts w:ascii="Times New Roman" w:hAnsi="Times New Roman"/>
          <w:sz w:val="28"/>
          <w:szCs w:val="28"/>
        </w:rPr>
        <w:t>21,3</w:t>
      </w:r>
      <w:r>
        <w:rPr>
          <w:rFonts w:ascii="Times New Roman" w:hAnsi="Times New Roman"/>
          <w:sz w:val="28"/>
          <w:szCs w:val="28"/>
        </w:rPr>
        <w:t>% от уточненного плана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223F47">
        <w:rPr>
          <w:rFonts w:ascii="Times New Roman" w:hAnsi="Times New Roman"/>
          <w:sz w:val="28"/>
          <w:szCs w:val="28"/>
        </w:rPr>
        <w:t>90544,7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или </w:t>
      </w:r>
      <w:r w:rsidR="00223F47">
        <w:rPr>
          <w:rFonts w:ascii="Times New Roman" w:hAnsi="Times New Roman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>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составил в сумме </w:t>
      </w:r>
      <w:r w:rsidR="00223F47">
        <w:rPr>
          <w:rFonts w:ascii="Times New Roman" w:hAnsi="Times New Roman"/>
          <w:sz w:val="28"/>
          <w:szCs w:val="28"/>
        </w:rPr>
        <w:t>5117,8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CD720A" w:rsidRPr="003A6936" w:rsidRDefault="00CD720A" w:rsidP="00CD7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29,8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96,6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72,0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Pr="003A6936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2021 года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%, наибольший удельный вес здесь принадлежит  Доходам от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–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28,2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D720A" w:rsidRPr="001D342E" w:rsidRDefault="00CD720A" w:rsidP="00CD720A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E47537">
        <w:rPr>
          <w:rFonts w:ascii="Times New Roman" w:eastAsia="Times New Roman" w:hAnsi="Times New Roman" w:cs="Times New Roman"/>
          <w:sz w:val="28"/>
          <w:szCs w:val="28"/>
        </w:rPr>
        <w:t>70,2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02772" w:rsidRDefault="00CD720A" w:rsidP="00F0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02772">
        <w:rPr>
          <w:rFonts w:ascii="Times New Roman" w:eastAsia="Times New Roman" w:hAnsi="Times New Roman" w:cs="Times New Roman"/>
          <w:bCs/>
          <w:sz w:val="28"/>
          <w:szCs w:val="28"/>
        </w:rPr>
        <w:t>Исполнение расходов ниже среднего (</w:t>
      </w:r>
      <w:r w:rsidR="008204F4">
        <w:rPr>
          <w:rFonts w:ascii="Times New Roman" w:eastAsia="Times New Roman" w:hAnsi="Times New Roman" w:cs="Times New Roman"/>
          <w:bCs/>
          <w:sz w:val="28"/>
          <w:szCs w:val="28"/>
        </w:rPr>
        <w:t>20,9</w:t>
      </w:r>
      <w:r w:rsidR="00F02772">
        <w:rPr>
          <w:rFonts w:ascii="Times New Roman" w:eastAsia="Times New Roman" w:hAnsi="Times New Roman" w:cs="Times New Roman"/>
          <w:bCs/>
          <w:sz w:val="28"/>
          <w:szCs w:val="28"/>
        </w:rPr>
        <w:t>%) сложилось по 4 из 10 разделов:</w:t>
      </w:r>
    </w:p>
    <w:p w:rsidR="008204F4" w:rsidRDefault="008204F4" w:rsidP="00820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18,8%;</w:t>
      </w:r>
    </w:p>
    <w:p w:rsidR="008204F4" w:rsidRDefault="008204F4" w:rsidP="008204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- 6,1%;</w:t>
      </w:r>
    </w:p>
    <w:p w:rsidR="008204F4" w:rsidRDefault="008204F4" w:rsidP="008204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- 14,2%;</w:t>
      </w:r>
    </w:p>
    <w:p w:rsidR="008204F4" w:rsidRDefault="008204F4" w:rsidP="0082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00 «Физическая культура и спорт» - 8,6%.</w:t>
      </w:r>
    </w:p>
    <w:p w:rsidR="00F02772" w:rsidRPr="002C2E3F" w:rsidRDefault="00CD720A" w:rsidP="00F02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127CD"/>
    <w:rsid w:val="00015A33"/>
    <w:rsid w:val="000212CB"/>
    <w:rsid w:val="00032305"/>
    <w:rsid w:val="00032762"/>
    <w:rsid w:val="00035E33"/>
    <w:rsid w:val="000372A2"/>
    <w:rsid w:val="000421E9"/>
    <w:rsid w:val="00047AB8"/>
    <w:rsid w:val="00051807"/>
    <w:rsid w:val="00051992"/>
    <w:rsid w:val="000530EB"/>
    <w:rsid w:val="000536C2"/>
    <w:rsid w:val="000545EF"/>
    <w:rsid w:val="000548C8"/>
    <w:rsid w:val="0006292A"/>
    <w:rsid w:val="000718F8"/>
    <w:rsid w:val="00072305"/>
    <w:rsid w:val="000734D7"/>
    <w:rsid w:val="000835E8"/>
    <w:rsid w:val="00090E38"/>
    <w:rsid w:val="00097270"/>
    <w:rsid w:val="000B07C4"/>
    <w:rsid w:val="000C09E3"/>
    <w:rsid w:val="000D19FD"/>
    <w:rsid w:val="000D3985"/>
    <w:rsid w:val="000D7321"/>
    <w:rsid w:val="000F54DD"/>
    <w:rsid w:val="000F7D55"/>
    <w:rsid w:val="00103390"/>
    <w:rsid w:val="00103DD7"/>
    <w:rsid w:val="0010726F"/>
    <w:rsid w:val="00112144"/>
    <w:rsid w:val="00117141"/>
    <w:rsid w:val="00121403"/>
    <w:rsid w:val="00141DAE"/>
    <w:rsid w:val="001431C4"/>
    <w:rsid w:val="00146114"/>
    <w:rsid w:val="001503BD"/>
    <w:rsid w:val="00154B0B"/>
    <w:rsid w:val="00170CFF"/>
    <w:rsid w:val="001760AF"/>
    <w:rsid w:val="00193EB7"/>
    <w:rsid w:val="001944DC"/>
    <w:rsid w:val="00194C0C"/>
    <w:rsid w:val="001979CA"/>
    <w:rsid w:val="001A0FEA"/>
    <w:rsid w:val="001B012A"/>
    <w:rsid w:val="001C0A2F"/>
    <w:rsid w:val="001C7AE7"/>
    <w:rsid w:val="001D27C8"/>
    <w:rsid w:val="001D342E"/>
    <w:rsid w:val="001D4AA9"/>
    <w:rsid w:val="001E2416"/>
    <w:rsid w:val="001E612D"/>
    <w:rsid w:val="001F1C0C"/>
    <w:rsid w:val="001F44D3"/>
    <w:rsid w:val="001F570D"/>
    <w:rsid w:val="0021397C"/>
    <w:rsid w:val="00223F47"/>
    <w:rsid w:val="00225263"/>
    <w:rsid w:val="00226A33"/>
    <w:rsid w:val="00231043"/>
    <w:rsid w:val="002403C5"/>
    <w:rsid w:val="00240FB2"/>
    <w:rsid w:val="00242956"/>
    <w:rsid w:val="00244C6A"/>
    <w:rsid w:val="002462E5"/>
    <w:rsid w:val="00247D8A"/>
    <w:rsid w:val="00247FA2"/>
    <w:rsid w:val="0026162C"/>
    <w:rsid w:val="002616C3"/>
    <w:rsid w:val="00265963"/>
    <w:rsid w:val="002671A8"/>
    <w:rsid w:val="00272F8F"/>
    <w:rsid w:val="0027550F"/>
    <w:rsid w:val="002808E6"/>
    <w:rsid w:val="00284155"/>
    <w:rsid w:val="00292B48"/>
    <w:rsid w:val="0029740A"/>
    <w:rsid w:val="002B27F9"/>
    <w:rsid w:val="002B4497"/>
    <w:rsid w:val="002B7D0B"/>
    <w:rsid w:val="002C2E3F"/>
    <w:rsid w:val="002C3C5B"/>
    <w:rsid w:val="002C4196"/>
    <w:rsid w:val="002D6E29"/>
    <w:rsid w:val="002E0905"/>
    <w:rsid w:val="002E2EFE"/>
    <w:rsid w:val="002E4FB6"/>
    <w:rsid w:val="002E5F41"/>
    <w:rsid w:val="002F0D57"/>
    <w:rsid w:val="002F23D8"/>
    <w:rsid w:val="002F5FD0"/>
    <w:rsid w:val="002F7DA8"/>
    <w:rsid w:val="00301E82"/>
    <w:rsid w:val="003070F2"/>
    <w:rsid w:val="00307969"/>
    <w:rsid w:val="00310580"/>
    <w:rsid w:val="00316F47"/>
    <w:rsid w:val="003173BE"/>
    <w:rsid w:val="0032068D"/>
    <w:rsid w:val="0032376C"/>
    <w:rsid w:val="00326852"/>
    <w:rsid w:val="0033075E"/>
    <w:rsid w:val="00330EF0"/>
    <w:rsid w:val="00331DF1"/>
    <w:rsid w:val="003342A9"/>
    <w:rsid w:val="0033635A"/>
    <w:rsid w:val="003449AA"/>
    <w:rsid w:val="00350CE6"/>
    <w:rsid w:val="0035233C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A364C"/>
    <w:rsid w:val="003A6936"/>
    <w:rsid w:val="003A72D0"/>
    <w:rsid w:val="003C18B0"/>
    <w:rsid w:val="003C7C40"/>
    <w:rsid w:val="003D78AE"/>
    <w:rsid w:val="003E09E1"/>
    <w:rsid w:val="003E4B80"/>
    <w:rsid w:val="003F0F73"/>
    <w:rsid w:val="003F55BC"/>
    <w:rsid w:val="00401BE7"/>
    <w:rsid w:val="00402564"/>
    <w:rsid w:val="00412C83"/>
    <w:rsid w:val="0041644E"/>
    <w:rsid w:val="00417C51"/>
    <w:rsid w:val="00420400"/>
    <w:rsid w:val="00425DB8"/>
    <w:rsid w:val="004316C4"/>
    <w:rsid w:val="004331B5"/>
    <w:rsid w:val="00433E91"/>
    <w:rsid w:val="0044405D"/>
    <w:rsid w:val="00444DDF"/>
    <w:rsid w:val="00445E05"/>
    <w:rsid w:val="00454570"/>
    <w:rsid w:val="00455DA8"/>
    <w:rsid w:val="0046401E"/>
    <w:rsid w:val="004648AA"/>
    <w:rsid w:val="004677E8"/>
    <w:rsid w:val="00470994"/>
    <w:rsid w:val="0047264E"/>
    <w:rsid w:val="00474BD0"/>
    <w:rsid w:val="0048051C"/>
    <w:rsid w:val="00480DFD"/>
    <w:rsid w:val="00482619"/>
    <w:rsid w:val="0048400F"/>
    <w:rsid w:val="00484053"/>
    <w:rsid w:val="00484595"/>
    <w:rsid w:val="00492013"/>
    <w:rsid w:val="004A3235"/>
    <w:rsid w:val="004A635D"/>
    <w:rsid w:val="004A7883"/>
    <w:rsid w:val="004A7B9D"/>
    <w:rsid w:val="004B1280"/>
    <w:rsid w:val="004B4AA1"/>
    <w:rsid w:val="004B4B3C"/>
    <w:rsid w:val="004C4378"/>
    <w:rsid w:val="004C797C"/>
    <w:rsid w:val="004D14A4"/>
    <w:rsid w:val="004E400D"/>
    <w:rsid w:val="004E47B6"/>
    <w:rsid w:val="004F0DD0"/>
    <w:rsid w:val="004F66A2"/>
    <w:rsid w:val="004F7AEE"/>
    <w:rsid w:val="005020D2"/>
    <w:rsid w:val="00502850"/>
    <w:rsid w:val="00504BCB"/>
    <w:rsid w:val="0050689E"/>
    <w:rsid w:val="00511E6C"/>
    <w:rsid w:val="0051478D"/>
    <w:rsid w:val="00520175"/>
    <w:rsid w:val="0052163E"/>
    <w:rsid w:val="00525C95"/>
    <w:rsid w:val="0053041F"/>
    <w:rsid w:val="00532A37"/>
    <w:rsid w:val="005340EE"/>
    <w:rsid w:val="0053586E"/>
    <w:rsid w:val="0054183D"/>
    <w:rsid w:val="005456E9"/>
    <w:rsid w:val="00560BD8"/>
    <w:rsid w:val="005A3C5C"/>
    <w:rsid w:val="005A44C0"/>
    <w:rsid w:val="005B3D9E"/>
    <w:rsid w:val="005B4F46"/>
    <w:rsid w:val="005C7703"/>
    <w:rsid w:val="005E1D7B"/>
    <w:rsid w:val="005E213D"/>
    <w:rsid w:val="005E4D00"/>
    <w:rsid w:val="005F5243"/>
    <w:rsid w:val="0060060D"/>
    <w:rsid w:val="00613889"/>
    <w:rsid w:val="006169A5"/>
    <w:rsid w:val="0062521F"/>
    <w:rsid w:val="006364D7"/>
    <w:rsid w:val="006378CA"/>
    <w:rsid w:val="00642862"/>
    <w:rsid w:val="00651601"/>
    <w:rsid w:val="006528C9"/>
    <w:rsid w:val="006535FA"/>
    <w:rsid w:val="006650AD"/>
    <w:rsid w:val="0067047D"/>
    <w:rsid w:val="00677723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E3CC4"/>
    <w:rsid w:val="006F3BAF"/>
    <w:rsid w:val="006F4D7E"/>
    <w:rsid w:val="006F5FCD"/>
    <w:rsid w:val="006F66DF"/>
    <w:rsid w:val="00700468"/>
    <w:rsid w:val="00702E18"/>
    <w:rsid w:val="007218CD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820D1"/>
    <w:rsid w:val="0078446D"/>
    <w:rsid w:val="00784ADB"/>
    <w:rsid w:val="0078507B"/>
    <w:rsid w:val="007855A5"/>
    <w:rsid w:val="00792C6F"/>
    <w:rsid w:val="00792EBC"/>
    <w:rsid w:val="007934AB"/>
    <w:rsid w:val="007939A5"/>
    <w:rsid w:val="0079601E"/>
    <w:rsid w:val="007A37C9"/>
    <w:rsid w:val="007A63B4"/>
    <w:rsid w:val="007A6EB6"/>
    <w:rsid w:val="007B3856"/>
    <w:rsid w:val="007B7BB1"/>
    <w:rsid w:val="007C4B93"/>
    <w:rsid w:val="007C5D05"/>
    <w:rsid w:val="007C6F73"/>
    <w:rsid w:val="007D2AF7"/>
    <w:rsid w:val="007D33FE"/>
    <w:rsid w:val="007D3C46"/>
    <w:rsid w:val="007D63CE"/>
    <w:rsid w:val="007E47B9"/>
    <w:rsid w:val="007E683D"/>
    <w:rsid w:val="007F4670"/>
    <w:rsid w:val="007F61FE"/>
    <w:rsid w:val="007F6D74"/>
    <w:rsid w:val="007F709F"/>
    <w:rsid w:val="00804B98"/>
    <w:rsid w:val="008105EE"/>
    <w:rsid w:val="0081104E"/>
    <w:rsid w:val="008204F4"/>
    <w:rsid w:val="008234E8"/>
    <w:rsid w:val="00832371"/>
    <w:rsid w:val="008324B5"/>
    <w:rsid w:val="00851271"/>
    <w:rsid w:val="00852205"/>
    <w:rsid w:val="0085244F"/>
    <w:rsid w:val="00857FE2"/>
    <w:rsid w:val="00865240"/>
    <w:rsid w:val="00866B05"/>
    <w:rsid w:val="00877AB9"/>
    <w:rsid w:val="008847BD"/>
    <w:rsid w:val="00884DC5"/>
    <w:rsid w:val="0088736E"/>
    <w:rsid w:val="00887BC6"/>
    <w:rsid w:val="00890E3D"/>
    <w:rsid w:val="0089194D"/>
    <w:rsid w:val="0089709C"/>
    <w:rsid w:val="008A1B2B"/>
    <w:rsid w:val="008A4B10"/>
    <w:rsid w:val="008B0635"/>
    <w:rsid w:val="008B1A7F"/>
    <w:rsid w:val="008B551E"/>
    <w:rsid w:val="008B783C"/>
    <w:rsid w:val="008D1319"/>
    <w:rsid w:val="008D5031"/>
    <w:rsid w:val="008E25ED"/>
    <w:rsid w:val="008F1209"/>
    <w:rsid w:val="008F2042"/>
    <w:rsid w:val="008F5E9A"/>
    <w:rsid w:val="00903FC2"/>
    <w:rsid w:val="00913573"/>
    <w:rsid w:val="00927B23"/>
    <w:rsid w:val="00931519"/>
    <w:rsid w:val="00935B0B"/>
    <w:rsid w:val="00945D62"/>
    <w:rsid w:val="0095088E"/>
    <w:rsid w:val="00961AD7"/>
    <w:rsid w:val="00971A91"/>
    <w:rsid w:val="00973032"/>
    <w:rsid w:val="009737A0"/>
    <w:rsid w:val="00973C66"/>
    <w:rsid w:val="00975A01"/>
    <w:rsid w:val="00984796"/>
    <w:rsid w:val="0098577E"/>
    <w:rsid w:val="009864BE"/>
    <w:rsid w:val="00994CC9"/>
    <w:rsid w:val="009A2E38"/>
    <w:rsid w:val="009B0087"/>
    <w:rsid w:val="009B00D2"/>
    <w:rsid w:val="009B071F"/>
    <w:rsid w:val="009B2D3C"/>
    <w:rsid w:val="009C16FC"/>
    <w:rsid w:val="009C27C7"/>
    <w:rsid w:val="009C6EEC"/>
    <w:rsid w:val="009D073F"/>
    <w:rsid w:val="009D2809"/>
    <w:rsid w:val="009D2976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6F67"/>
    <w:rsid w:val="00A21EB8"/>
    <w:rsid w:val="00A25041"/>
    <w:rsid w:val="00A254C9"/>
    <w:rsid w:val="00A313EB"/>
    <w:rsid w:val="00A32805"/>
    <w:rsid w:val="00A44064"/>
    <w:rsid w:val="00A44A39"/>
    <w:rsid w:val="00A45824"/>
    <w:rsid w:val="00A476EF"/>
    <w:rsid w:val="00A60189"/>
    <w:rsid w:val="00A66F52"/>
    <w:rsid w:val="00A70173"/>
    <w:rsid w:val="00A721AC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7296"/>
    <w:rsid w:val="00AC2D7C"/>
    <w:rsid w:val="00AC6284"/>
    <w:rsid w:val="00AC65E3"/>
    <w:rsid w:val="00AD0599"/>
    <w:rsid w:val="00AD2FBA"/>
    <w:rsid w:val="00AD3589"/>
    <w:rsid w:val="00AD6F86"/>
    <w:rsid w:val="00AD7C36"/>
    <w:rsid w:val="00AE688A"/>
    <w:rsid w:val="00AF37E8"/>
    <w:rsid w:val="00AF5028"/>
    <w:rsid w:val="00B000A2"/>
    <w:rsid w:val="00B0404A"/>
    <w:rsid w:val="00B04264"/>
    <w:rsid w:val="00B06B0A"/>
    <w:rsid w:val="00B20D71"/>
    <w:rsid w:val="00B2371A"/>
    <w:rsid w:val="00B27541"/>
    <w:rsid w:val="00B408BC"/>
    <w:rsid w:val="00B431C9"/>
    <w:rsid w:val="00B439D7"/>
    <w:rsid w:val="00B468B1"/>
    <w:rsid w:val="00B47E6E"/>
    <w:rsid w:val="00B60DB4"/>
    <w:rsid w:val="00B625E4"/>
    <w:rsid w:val="00B63FAB"/>
    <w:rsid w:val="00B67A3E"/>
    <w:rsid w:val="00B714A1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39B3"/>
    <w:rsid w:val="00BB3CFE"/>
    <w:rsid w:val="00BB49A6"/>
    <w:rsid w:val="00BB7327"/>
    <w:rsid w:val="00BC2401"/>
    <w:rsid w:val="00BC46B8"/>
    <w:rsid w:val="00BD084D"/>
    <w:rsid w:val="00BD6FCD"/>
    <w:rsid w:val="00BD7FA7"/>
    <w:rsid w:val="00BE7AA3"/>
    <w:rsid w:val="00BF09C1"/>
    <w:rsid w:val="00BF355C"/>
    <w:rsid w:val="00BF420A"/>
    <w:rsid w:val="00BF6085"/>
    <w:rsid w:val="00C00500"/>
    <w:rsid w:val="00C00E71"/>
    <w:rsid w:val="00C0127B"/>
    <w:rsid w:val="00C0652F"/>
    <w:rsid w:val="00C11C6E"/>
    <w:rsid w:val="00C136FF"/>
    <w:rsid w:val="00C172FE"/>
    <w:rsid w:val="00C203D8"/>
    <w:rsid w:val="00C205F2"/>
    <w:rsid w:val="00C266D2"/>
    <w:rsid w:val="00C27C92"/>
    <w:rsid w:val="00C31C13"/>
    <w:rsid w:val="00C33AEC"/>
    <w:rsid w:val="00C37764"/>
    <w:rsid w:val="00C37F12"/>
    <w:rsid w:val="00C41A7C"/>
    <w:rsid w:val="00C43BD7"/>
    <w:rsid w:val="00C53572"/>
    <w:rsid w:val="00C55130"/>
    <w:rsid w:val="00C600D1"/>
    <w:rsid w:val="00C663DA"/>
    <w:rsid w:val="00C70E22"/>
    <w:rsid w:val="00C72231"/>
    <w:rsid w:val="00C72408"/>
    <w:rsid w:val="00C7426C"/>
    <w:rsid w:val="00C75915"/>
    <w:rsid w:val="00C75AA2"/>
    <w:rsid w:val="00C771D8"/>
    <w:rsid w:val="00C8245D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607A"/>
    <w:rsid w:val="00CD600D"/>
    <w:rsid w:val="00CD720A"/>
    <w:rsid w:val="00CE2A5F"/>
    <w:rsid w:val="00CE2D73"/>
    <w:rsid w:val="00CE3252"/>
    <w:rsid w:val="00CE592B"/>
    <w:rsid w:val="00CE7E02"/>
    <w:rsid w:val="00CF1C06"/>
    <w:rsid w:val="00CF4259"/>
    <w:rsid w:val="00CF6E11"/>
    <w:rsid w:val="00D00F45"/>
    <w:rsid w:val="00D16326"/>
    <w:rsid w:val="00D16BA4"/>
    <w:rsid w:val="00D16E14"/>
    <w:rsid w:val="00D17648"/>
    <w:rsid w:val="00D17B0F"/>
    <w:rsid w:val="00D2248D"/>
    <w:rsid w:val="00D25EE4"/>
    <w:rsid w:val="00D345B0"/>
    <w:rsid w:val="00D42211"/>
    <w:rsid w:val="00D42E11"/>
    <w:rsid w:val="00D53553"/>
    <w:rsid w:val="00D67E4E"/>
    <w:rsid w:val="00D7226C"/>
    <w:rsid w:val="00D73215"/>
    <w:rsid w:val="00D73B19"/>
    <w:rsid w:val="00D81A3E"/>
    <w:rsid w:val="00D830A6"/>
    <w:rsid w:val="00D83C01"/>
    <w:rsid w:val="00D83CFF"/>
    <w:rsid w:val="00D87EC4"/>
    <w:rsid w:val="00D947D3"/>
    <w:rsid w:val="00D96DE5"/>
    <w:rsid w:val="00DA715E"/>
    <w:rsid w:val="00DB7B46"/>
    <w:rsid w:val="00DC0E01"/>
    <w:rsid w:val="00DC2F2D"/>
    <w:rsid w:val="00DC465E"/>
    <w:rsid w:val="00DD1A19"/>
    <w:rsid w:val="00DD74E9"/>
    <w:rsid w:val="00DE78C7"/>
    <w:rsid w:val="00DF03DC"/>
    <w:rsid w:val="00E01299"/>
    <w:rsid w:val="00E02AF0"/>
    <w:rsid w:val="00E06F1E"/>
    <w:rsid w:val="00E11475"/>
    <w:rsid w:val="00E12063"/>
    <w:rsid w:val="00E17FAB"/>
    <w:rsid w:val="00E213FD"/>
    <w:rsid w:val="00E25615"/>
    <w:rsid w:val="00E25A2D"/>
    <w:rsid w:val="00E26F4C"/>
    <w:rsid w:val="00E32192"/>
    <w:rsid w:val="00E345B9"/>
    <w:rsid w:val="00E36236"/>
    <w:rsid w:val="00E42A27"/>
    <w:rsid w:val="00E43BC2"/>
    <w:rsid w:val="00E45A54"/>
    <w:rsid w:val="00E47099"/>
    <w:rsid w:val="00E47537"/>
    <w:rsid w:val="00E47B36"/>
    <w:rsid w:val="00E50DD0"/>
    <w:rsid w:val="00E50FF3"/>
    <w:rsid w:val="00E556E2"/>
    <w:rsid w:val="00E6207F"/>
    <w:rsid w:val="00E63510"/>
    <w:rsid w:val="00E711CD"/>
    <w:rsid w:val="00E826B0"/>
    <w:rsid w:val="00EA25F7"/>
    <w:rsid w:val="00EA2B3D"/>
    <w:rsid w:val="00EB0685"/>
    <w:rsid w:val="00EB1FA4"/>
    <w:rsid w:val="00EC308E"/>
    <w:rsid w:val="00EC3144"/>
    <w:rsid w:val="00ED0BFC"/>
    <w:rsid w:val="00ED2B97"/>
    <w:rsid w:val="00ED5D44"/>
    <w:rsid w:val="00EF120B"/>
    <w:rsid w:val="00EF218E"/>
    <w:rsid w:val="00EF5BE6"/>
    <w:rsid w:val="00F02772"/>
    <w:rsid w:val="00F0512A"/>
    <w:rsid w:val="00F06E99"/>
    <w:rsid w:val="00F147FD"/>
    <w:rsid w:val="00F1566F"/>
    <w:rsid w:val="00F251E9"/>
    <w:rsid w:val="00F346C2"/>
    <w:rsid w:val="00F37B76"/>
    <w:rsid w:val="00F40C42"/>
    <w:rsid w:val="00F5326A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4BE0"/>
    <w:rsid w:val="00F94694"/>
    <w:rsid w:val="00F97C87"/>
    <w:rsid w:val="00FA5F96"/>
    <w:rsid w:val="00FB5F4F"/>
    <w:rsid w:val="00FC4A52"/>
    <w:rsid w:val="00FD1A7F"/>
    <w:rsid w:val="00FD24C9"/>
    <w:rsid w:val="00FE53D3"/>
    <w:rsid w:val="00FE6017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9AE0-27C2-41D5-8FBE-06535F7E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16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451</cp:revision>
  <dcterms:created xsi:type="dcterms:W3CDTF">2019-03-19T12:42:00Z</dcterms:created>
  <dcterms:modified xsi:type="dcterms:W3CDTF">2021-06-03T15:34:00Z</dcterms:modified>
</cp:coreProperties>
</file>