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r w:rsidR="00304702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C77FA0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77FA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77FA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C77FA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.12.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B1365" w:rsidRPr="00734EA0" w:rsidRDefault="00EA3D7A" w:rsidP="00EA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="00AB1365" w:rsidRPr="00803671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803671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на 2021 год и на плановый период 2022 и 2023 годов» </w:t>
      </w:r>
      <w:r w:rsidR="00AB1365" w:rsidRPr="00803671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</w:t>
      </w:r>
      <w:proofErr w:type="gramEnd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77F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, приказа №</w:t>
      </w:r>
      <w:r w:rsidR="00C00B1B"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7FA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7F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00B1B" w:rsidRPr="00734E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77F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проведения экспертизы проекта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Дубровской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304702" w:rsidRPr="002B528B">
        <w:rPr>
          <w:rFonts w:ascii="Times New Roman" w:eastAsia="Times New Roman" w:hAnsi="Times New Roman" w:cs="Times New Roman"/>
          <w:sz w:val="24"/>
          <w:szCs w:val="24"/>
        </w:rPr>
        <w:t xml:space="preserve">от 27.06.2016 г. №81-1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утвержден постановлением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 xml:space="preserve">Дубровской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28B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Дубровского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E92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E92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годов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 развития за предыдущие годы, ожидаемых итогов за 20</w:t>
      </w:r>
      <w:r w:rsidR="00E92C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год, целевых показателей, установленных Указами Президента Российской Федерации,</w:t>
      </w:r>
      <w:r w:rsidRPr="002B52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990FE4" w:rsidRPr="00734EA0" w:rsidRDefault="00990FE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входят следующие населенные пункты</w:t>
      </w:r>
      <w:r w:rsidRPr="002B52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- сёла: Дубровка,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Далисичи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;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- посёлки: Васенков,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Путилин, 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Ольговка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Майский, Первомаевка, Передовик,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Ново-</w:t>
      </w:r>
      <w:proofErr w:type="spellStart"/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Николаевка</w:t>
      </w:r>
      <w:proofErr w:type="gramStart"/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расная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-Знаменка;</w:t>
      </w:r>
    </w:p>
    <w:p w:rsidR="00990FE4" w:rsidRPr="002B528B" w:rsidRDefault="00990FE4" w:rsidP="00990F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деревни</w:t>
      </w:r>
      <w:proofErr w:type="gram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алая-Ловча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Большая-Ловча,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Новые-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Далисичи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Федоровка,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Кокот,Красновка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Иржач,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Слище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Нарость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Рословка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Барсуки,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Струженка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Дедовск.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на 01.01.2020г. – 1716 человек.</w:t>
      </w:r>
    </w:p>
    <w:p w:rsidR="003F0660" w:rsidRPr="00E16E3C" w:rsidRDefault="003F0660" w:rsidP="003F0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3F0660" w:rsidRPr="00E16E3C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Наблюдается с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кращение численности населения, обусловленное  превышением смертности над рождаемостью, которое не компенсируется миграционным приростом.</w:t>
      </w:r>
    </w:p>
    <w:p w:rsidR="003F0660" w:rsidRPr="00E16E3C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3F0660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При составлении прогноза социально-экономического развития Дубровского сельского поселения в период до 202</w:t>
      </w:r>
      <w:r w:rsidR="007A3E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Колхоза «Маяк», КФХ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Погуляев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» и АПХ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», находящееся на территории Дубровского сельского поселения. В своих прогнозах предприятия планируют рост заработной платы</w:t>
      </w:r>
      <w:r w:rsidRPr="00B8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660" w:rsidRPr="00BC4543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543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доходов трудоспособных жителей поселения, является заработная плата и доходы от личного подсобного хозяйства.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 Инвестиций в основной капитал нет. Строительство на территории поселения не планируется. </w:t>
      </w:r>
    </w:p>
    <w:p w:rsidR="003F0660" w:rsidRPr="00E16E3C" w:rsidRDefault="003F0660" w:rsidP="003F06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Объекты общественного питания на территории поселения отсутствуют.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Дубровского сельского поселения товарами первой необходимости производят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торговых точек, из них - 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6 магазинов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>, 1 автолавка, 3 торговые точки при отделениях почтовой связи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. Объекты общественного питания на территории поселения отсутствуют.</w:t>
      </w:r>
    </w:p>
    <w:p w:rsidR="003F0660" w:rsidRDefault="003F0660" w:rsidP="003F0660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Социальная сфера Дубровского сельского поселения представлена следующими объектами: сельский Дом культуры Дубровка, сельский Дом культуры 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Слище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 сельский Дом культуры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Струженка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 сельский Дом культуры 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Далисичи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 МБОУ "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Слищанская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ООШ", МБОУ "Дубровская СОШ", МБОУ "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Далисичская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СОШ".</w:t>
      </w:r>
    </w:p>
    <w:p w:rsidR="003F0660" w:rsidRPr="00E16E3C" w:rsidRDefault="003F0660" w:rsidP="003F0660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земель поселения 18100 га.</w:t>
      </w:r>
    </w:p>
    <w:p w:rsidR="003F0660" w:rsidRPr="00E16E3C" w:rsidRDefault="003F0660" w:rsidP="003F0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11 водонапорных башен и артезианские скважины. Обслуживанием объектов водоснабжения занимается МУП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304702">
        <w:rPr>
          <w:rFonts w:ascii="Times New Roman" w:eastAsia="Times New Roman" w:hAnsi="Times New Roman" w:cs="Times New Roman"/>
          <w:b/>
          <w:sz w:val="24"/>
          <w:szCs w:val="24"/>
        </w:rPr>
        <w:t>Дубровское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2021 и 2022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78012D" w:rsidRDefault="00D521FD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1FD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5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0B5" w:rsidRPr="00D521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 w:rsidRPr="00D521F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1FD" w:rsidRPr="0078012D" w:rsidRDefault="0078012D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01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r w:rsidR="00D521FD" w:rsidRPr="007801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п. 1 ст. 185 Бюджетного кодекса РФ</w:t>
      </w:r>
      <w:r w:rsidRPr="007801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 решения Дубровского сельского поселения о бюджете на  2021 год и на плановый период 2022 и 2023 годов представлен на экспертизу </w:t>
      </w:r>
      <w:r w:rsidR="00061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12 дней </w:t>
      </w:r>
      <w:r w:rsidRPr="0078012D">
        <w:rPr>
          <w:rFonts w:ascii="Times New Roman" w:eastAsia="Times New Roman" w:hAnsi="Times New Roman" w:cs="Times New Roman"/>
          <w:b/>
          <w:i/>
          <w:sz w:val="24"/>
          <w:szCs w:val="24"/>
        </w:rPr>
        <w:t>позже установленного срока.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AB136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4721B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721B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2D" w:rsidRDefault="0037560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</w:p>
    <w:p w:rsidR="00103C9F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4F4513" w:rsidRDefault="004F4513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доходов.</w:t>
      </w:r>
    </w:p>
    <w:p w:rsidR="00256C73" w:rsidRDefault="00256C73" w:rsidP="00256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бюджете удовлетворяют требованиям 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r w:rsidR="003F0660">
        <w:rPr>
          <w:rFonts w:ascii="Times New Roman" w:eastAsia="Times New Roman" w:hAnsi="Times New Roman" w:cs="Times New Roman"/>
          <w:sz w:val="24"/>
          <w:szCs w:val="24"/>
        </w:rPr>
        <w:t>Дубровской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9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06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Послания Президента РФ Федеральному Собранию РФ,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3F06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33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76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84">
        <w:rPr>
          <w:rFonts w:ascii="Times New Roman" w:eastAsia="Times New Roman" w:hAnsi="Times New Roman" w:cs="Times New Roman"/>
          <w:sz w:val="24"/>
          <w:szCs w:val="24"/>
        </w:rPr>
        <w:t>2380,8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76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84">
        <w:rPr>
          <w:rFonts w:ascii="Times New Roman" w:eastAsia="Times New Roman" w:hAnsi="Times New Roman" w:cs="Times New Roman"/>
          <w:sz w:val="24"/>
          <w:szCs w:val="24"/>
        </w:rPr>
        <w:t>2309,7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76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>297,8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>299,7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>305,2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2F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ED2F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ED2F0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2F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95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2F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2F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6B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6B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16B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r w:rsidR="00C7078E">
        <w:rPr>
          <w:rFonts w:ascii="Times New Roman" w:eastAsia="Times New Roman" w:hAnsi="Times New Roman" w:cs="Times New Roman"/>
          <w:sz w:val="24"/>
          <w:szCs w:val="24"/>
        </w:rPr>
        <w:t>Дубровским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44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44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44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2D65E1" w:rsidRDefault="00926ADB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proofErr w:type="spellStart"/>
      <w:r w:rsidR="006E4817">
        <w:rPr>
          <w:rFonts w:ascii="Times New Roman" w:eastAsia="Times New Roman" w:hAnsi="Times New Roman" w:cs="Times New Roman"/>
          <w:b/>
          <w:i/>
          <w:sz w:val="24"/>
          <w:szCs w:val="24"/>
        </w:rPr>
        <w:t>абз</w:t>
      </w:r>
      <w:proofErr w:type="spellEnd"/>
      <w:r w:rsidR="006E48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 </w:t>
      </w:r>
      <w:r w:rsidR="006E4817"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ст. </w:t>
      </w:r>
      <w:r w:rsidR="006E48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96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проектом решения не утверждено, что</w:t>
      </w:r>
      <w:r w:rsidR="002D65E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630AB" w:rsidRDefault="002D65E1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926A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остатки средств бюджета на начало текущего финансового года могут направляться на покрытие временных финансовых разрывов, возникающих при исполнении бюджета, на оплату заключенных муниципальных контрактов на поставку товаров, оказание услуг, подлежащих в соответствии с условиями этих муниципальных контрактов 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="002F458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26A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5630AB" w:rsidRPr="00681650" w:rsidRDefault="005630AB" w:rsidP="0056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926A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Проектом решения не утверждены источники внутреннего финансирования дефицита бюджета на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годов.</w:t>
      </w:r>
    </w:p>
    <w:p w:rsidR="00926ADB" w:rsidRDefault="00926ADB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365" w:rsidRPr="00766982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</w:p>
    <w:p w:rsidR="00AB1365" w:rsidRPr="00766982" w:rsidRDefault="00304702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109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109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C1092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5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CA76FA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10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C109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10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C109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10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C109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10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CA76FA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82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176D1D" w:rsidRPr="003C765A" w:rsidRDefault="002F4582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2F4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2F4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334188" w:rsidRPr="003C765A" w:rsidTr="0028682E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C765A" w:rsidRDefault="00334188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334188" w:rsidRPr="003C765A" w:rsidTr="0028682E">
        <w:trPr>
          <w:trHeight w:val="21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C765A" w:rsidRDefault="00334188" w:rsidP="00072FE8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334188" w:rsidRPr="003C765A" w:rsidTr="0028682E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C765A" w:rsidRDefault="00334188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188" w:rsidRPr="00334188" w:rsidRDefault="0033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C70F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2380,8</w:t>
      </w:r>
      <w:r w:rsidR="000A4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198,5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объем расходов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2380,8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823,5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25,7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451E37" w:rsidRPr="00451E37" w:rsidRDefault="00451E37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E3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плановом периоде 2022-2023 годов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наблюдается тенденция к снижению доходов и расходов относительно предыдущего периода. Дефицит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AD0D8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ED6A63" w:rsidRPr="005C372F" w:rsidRDefault="00ED6A63" w:rsidP="0007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C1791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179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179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1134"/>
        <w:gridCol w:w="708"/>
        <w:gridCol w:w="992"/>
        <w:gridCol w:w="709"/>
        <w:gridCol w:w="30"/>
      </w:tblGrid>
      <w:tr w:rsidR="006B2708" w:rsidRPr="00304924" w:rsidTr="007D3D66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372C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C1791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17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C1791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17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C1791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17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C1791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17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7D3D66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7D3D66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1B61" w:rsidRPr="00304924" w:rsidTr="007D3D66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61" w:rsidRPr="00304924" w:rsidRDefault="00851B61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</w:tcPr>
          <w:p w:rsidR="00851B61" w:rsidRPr="00304924" w:rsidRDefault="00851B61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1B61" w:rsidRPr="00304924" w:rsidTr="007D3D66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61" w:rsidRPr="00304924" w:rsidRDefault="00851B61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30" w:type="dxa"/>
            <w:vAlign w:val="center"/>
            <w:hideMark/>
          </w:tcPr>
          <w:p w:rsidR="00851B61" w:rsidRPr="00304924" w:rsidRDefault="00851B61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1B61" w:rsidRPr="00304924" w:rsidTr="007D3D66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61" w:rsidRPr="00304924" w:rsidRDefault="00851B61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30" w:type="dxa"/>
            <w:vAlign w:val="center"/>
            <w:hideMark/>
          </w:tcPr>
          <w:p w:rsidR="00851B61" w:rsidRPr="00304924" w:rsidRDefault="00851B61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1B61" w:rsidRPr="00304924" w:rsidTr="007D3D66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61" w:rsidRPr="00304924" w:rsidRDefault="00851B61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B61" w:rsidRPr="00851B61" w:rsidRDefault="00851B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61" w:rsidRPr="00851B61" w:rsidRDefault="00851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0" w:type="dxa"/>
            <w:vAlign w:val="center"/>
            <w:hideMark/>
          </w:tcPr>
          <w:p w:rsidR="00851B61" w:rsidRPr="00304924" w:rsidRDefault="00851B61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072FE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82,1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15,8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5,8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6E199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2,7</w:t>
      </w:r>
      <w:r w:rsidR="006E199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12,5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и это 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12,7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875CE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ов сохранится та же тенденция в структуре бюджета поселения.</w:t>
      </w:r>
    </w:p>
    <w:p w:rsidR="001B3EA9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C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B3EA9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1B3EA9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B3EA9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2380,8</w:t>
      </w:r>
      <w:r w:rsidRPr="001B3EA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B3EA9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20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20 го</w:t>
      </w:r>
      <w:r w:rsidRPr="001B3EA9">
        <w:rPr>
          <w:rFonts w:ascii="Times New Roman" w:eastAsia="Times New Roman" w:hAnsi="Times New Roman" w:cs="Times New Roman"/>
          <w:sz w:val="24"/>
          <w:szCs w:val="24"/>
        </w:rPr>
        <w:t xml:space="preserve">да на 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198,5</w:t>
      </w:r>
      <w:r w:rsidRPr="001B3EA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7,7</w:t>
      </w:r>
      <w:r w:rsidRPr="001B3EA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снижение </w:t>
      </w:r>
      <w:r w:rsidRPr="001B3EA9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к предшествующему году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DC2B0F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 xml:space="preserve">2021 года 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занимает земельный налог – 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65,4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1B3EA9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07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875C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202</w:t>
      </w:r>
      <w:r w:rsidR="006875C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6875C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EA1185" w:rsidRPr="001223F6" w:rsidTr="005B1704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Default="00EA1185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26447E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5B1704" w:rsidRPr="001223F6" w:rsidTr="0026447E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92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92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92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1A539F" w:rsidRPr="001223F6" w:rsidTr="0026447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2369,7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1A539F" w:rsidRPr="001223F6" w:rsidTr="0026447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</w:tr>
      <w:tr w:rsidR="001A539F" w:rsidRPr="001223F6" w:rsidTr="0026447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A539F" w:rsidRPr="001223F6" w:rsidTr="0026447E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</w:tr>
      <w:tr w:rsidR="001A539F" w:rsidRPr="001223F6" w:rsidTr="0026447E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1522,0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1A539F" w:rsidRPr="001223F6" w:rsidTr="0026447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A539F" w:rsidRPr="001223F6" w:rsidTr="0026447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A539F" w:rsidRPr="001223F6" w:rsidTr="0026447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A539F" w:rsidRPr="001223F6" w:rsidTr="0026447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A539F" w:rsidRPr="001223F6" w:rsidTr="0026447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A539F" w:rsidRPr="001223F6" w:rsidTr="0026447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223F6" w:rsidRDefault="001A539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9F" w:rsidRPr="001A539F" w:rsidRDefault="001A539F" w:rsidP="00D21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5,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40,0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85,0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9,6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143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521432">
        <w:rPr>
          <w:rFonts w:ascii="Times New Roman" w:eastAsia="Times New Roman" w:hAnsi="Times New Roman" w:cs="Times New Roman"/>
          <w:sz w:val="24"/>
          <w:szCs w:val="24"/>
        </w:rPr>
        <w:t>1556,0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21432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521432">
        <w:rPr>
          <w:rFonts w:ascii="Times New Roman" w:eastAsia="Times New Roman" w:hAnsi="Times New Roman" w:cs="Times New Roman"/>
          <w:sz w:val="24"/>
          <w:szCs w:val="24"/>
        </w:rPr>
        <w:t>65,4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139,0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80,2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36,6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20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5,8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C76">
        <w:rPr>
          <w:rFonts w:ascii="Times New Roman" w:eastAsia="Times New Roman" w:hAnsi="Times New Roman" w:cs="Times New Roman"/>
          <w:b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139,0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49,7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26,4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% больше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 xml:space="preserve">данного источника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04CB9">
        <w:rPr>
          <w:rFonts w:ascii="Times New Roman" w:eastAsia="Times New Roman" w:hAnsi="Times New Roman" w:cs="Times New Roman"/>
          <w:sz w:val="24"/>
          <w:szCs w:val="24"/>
        </w:rPr>
        <w:t>69,8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104C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3403C" w:rsidRDefault="00B93D30" w:rsidP="0001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10FC6"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010FC6" w:rsidP="007340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30"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="00B93D30"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30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3D30">
        <w:rPr>
          <w:rFonts w:ascii="Times New Roman" w:eastAsia="Times New Roman" w:hAnsi="Times New Roman" w:cs="Times New Roman"/>
          <w:sz w:val="24"/>
          <w:szCs w:val="24"/>
        </w:rPr>
        <w:t xml:space="preserve"> год не планируются. </w:t>
      </w:r>
    </w:p>
    <w:p w:rsidR="0099300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DC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Безвозмездные </w:t>
      </w:r>
      <w:r w:rsidRPr="00F524AD">
        <w:rPr>
          <w:rFonts w:ascii="Times New Roman" w:eastAsia="Times New Roman" w:hAnsi="Times New Roman" w:cs="Times New Roman"/>
          <w:b/>
          <w:sz w:val="24"/>
          <w:szCs w:val="24"/>
        </w:rPr>
        <w:t>поступления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C52ADC" w:rsidRPr="00F524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</w:t>
      </w:r>
      <w:r w:rsidR="00C52ADC" w:rsidRPr="00F524AD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ADC" w:rsidRPr="00F524AD">
        <w:rPr>
          <w:rFonts w:ascii="Times New Roman" w:eastAsia="Times New Roman" w:hAnsi="Times New Roman" w:cs="Times New Roman"/>
          <w:sz w:val="24"/>
          <w:szCs w:val="24"/>
        </w:rPr>
        <w:t>297,8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524A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C52ADC" w:rsidRPr="00F524A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F524AD">
        <w:rPr>
          <w:rFonts w:ascii="Times New Roman" w:eastAsia="Times New Roman" w:hAnsi="Times New Roman" w:cs="Times New Roman"/>
          <w:sz w:val="24"/>
          <w:szCs w:val="24"/>
        </w:rPr>
        <w:t>351,8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C67B02" w:rsidRPr="00F524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107B" w:rsidRPr="00F524A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F524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107B" w:rsidRPr="00F5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B02" w:rsidRPr="00F524AD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9930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F52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993000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930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930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930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4AD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="00993000">
        <w:rPr>
          <w:rFonts w:ascii="Times New Roman" w:eastAsia="Times New Roman" w:hAnsi="Times New Roman" w:cs="Times New Roman"/>
          <w:sz w:val="24"/>
          <w:szCs w:val="24"/>
        </w:rPr>
        <w:t>наблюдается небольшой т</w:t>
      </w:r>
      <w:r w:rsidR="00993000" w:rsidRPr="00F524AD">
        <w:rPr>
          <w:rFonts w:ascii="Times New Roman" w:eastAsia="Times New Roman" w:hAnsi="Times New Roman" w:cs="Times New Roman"/>
          <w:sz w:val="24"/>
          <w:szCs w:val="24"/>
        </w:rPr>
        <w:t>емп роста безвозмездных поступлений</w:t>
      </w:r>
      <w:r w:rsidR="00993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922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D14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D14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2D148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D14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AD75A0" w:rsidRPr="00967271" w:rsidTr="00072FE8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D07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D07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D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D07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D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D07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D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072FE8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0C08C2" w:rsidRPr="00967271" w:rsidTr="00072FE8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92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92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92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0C08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0C08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0C08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082AA9" w:rsidRPr="00967271" w:rsidTr="00082AA9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967271" w:rsidRDefault="00082AA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649,6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</w:tr>
      <w:tr w:rsidR="00082AA9" w:rsidRPr="00967271" w:rsidTr="00082AA9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4133FC" w:rsidRDefault="00082AA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</w:tr>
      <w:tr w:rsidR="00082AA9" w:rsidRPr="00967271" w:rsidTr="00082AA9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4133FC" w:rsidRDefault="00082AA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2AA9" w:rsidRPr="00967271" w:rsidTr="00082AA9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4133FC" w:rsidRDefault="00082AA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A9" w:rsidRPr="00082AA9" w:rsidRDefault="00082AA9" w:rsidP="00082A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103,9</w:t>
            </w:r>
          </w:p>
        </w:tc>
      </w:tr>
    </w:tbl>
    <w:p w:rsidR="0009411E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занимают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дотации бюджетам субъектов РФ и муниципальных образований –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70,2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209,0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208</w:t>
      </w:r>
      <w:r w:rsidR="00DD286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370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B37064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Наблюдается 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емп роста дотаций в 20</w:t>
      </w:r>
      <w:r w:rsidR="005A0E97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101,0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108,0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F664F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88,8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 xml:space="preserve">0,1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>1,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субвенций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29,8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Наблюдается 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емп роста субвенций в 20</w:t>
      </w:r>
      <w:r w:rsidR="00F65881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882D9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проекте решения </w:t>
      </w:r>
      <w:r w:rsidR="00BB4AAA" w:rsidRPr="002B4F3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на 2021 год и на плановый период 2022 и 2023 годов»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2B4F30" w:rsidRPr="002B4F30">
        <w:rPr>
          <w:rFonts w:ascii="Times New Roman" w:eastAsia="Times New Roman" w:hAnsi="Times New Roman" w:cs="Times New Roman"/>
          <w:sz w:val="24"/>
          <w:szCs w:val="24"/>
        </w:rPr>
        <w:t>2380,8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</w:t>
      </w:r>
      <w:r w:rsidR="00882D9E" w:rsidRPr="002B4F30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2B4F30"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>21</w:t>
      </w:r>
      <w:r w:rsidR="00901C11"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2C70B5" w:rsidRPr="002B4F30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1" w:rsidRPr="002B4F3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B4F30" w:rsidRPr="002B4F30">
        <w:rPr>
          <w:rFonts w:ascii="Times New Roman" w:eastAsia="Times New Roman" w:hAnsi="Times New Roman" w:cs="Times New Roman"/>
          <w:sz w:val="24"/>
          <w:szCs w:val="24"/>
        </w:rPr>
        <w:t>823,5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B4F30" w:rsidRPr="002B4F30">
        <w:rPr>
          <w:rFonts w:ascii="Times New Roman" w:eastAsia="Times New Roman" w:hAnsi="Times New Roman" w:cs="Times New Roman"/>
          <w:sz w:val="24"/>
          <w:szCs w:val="24"/>
        </w:rPr>
        <w:t>25,7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F11" w:rsidRPr="00343D38" w:rsidRDefault="00820F11" w:rsidP="00072FE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6400B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6400B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BB4AA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072FE8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820F11" w:rsidRPr="003322E5" w:rsidRDefault="00820F11" w:rsidP="00641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20</w:t>
            </w:r>
            <w:r w:rsidR="00641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1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641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1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641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1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641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072FE8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A1710" w:rsidRPr="003322E5" w:rsidTr="004603D2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2061,9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1787,3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</w:tr>
      <w:tr w:rsidR="008A1710" w:rsidRPr="003322E5" w:rsidTr="004603D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</w:tr>
      <w:tr w:rsidR="008A1710" w:rsidRPr="003322E5" w:rsidTr="004603D2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A1710" w:rsidRPr="003322E5" w:rsidTr="004603D2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8A1710" w:rsidRPr="003322E5" w:rsidTr="004603D2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</w:tr>
      <w:tr w:rsidR="008A1710" w:rsidRPr="003322E5" w:rsidTr="004603D2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8A1710" w:rsidRPr="003322E5" w:rsidTr="004603D2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3322E5" w:rsidRDefault="008A1710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3322E5" w:rsidRDefault="008A171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8A1710" w:rsidRPr="003322E5" w:rsidTr="004603D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3322E5" w:rsidRDefault="008A171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10" w:rsidRPr="008A1710" w:rsidRDefault="008A1710" w:rsidP="008A1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6C14CA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D067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067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067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годов являются общегосударственные вопросы – </w:t>
      </w:r>
      <w:r w:rsidR="00D0679B">
        <w:rPr>
          <w:rFonts w:ascii="Times New Roman" w:eastAsia="Times New Roman" w:hAnsi="Times New Roman" w:cs="Times New Roman"/>
          <w:sz w:val="24"/>
          <w:szCs w:val="24"/>
        </w:rPr>
        <w:t>73,6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D0679B">
        <w:rPr>
          <w:rFonts w:ascii="Times New Roman" w:eastAsia="Times New Roman" w:hAnsi="Times New Roman" w:cs="Times New Roman"/>
          <w:sz w:val="24"/>
          <w:szCs w:val="24"/>
        </w:rPr>
        <w:t>75,4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D0679B">
        <w:rPr>
          <w:rFonts w:ascii="Times New Roman" w:eastAsia="Times New Roman" w:hAnsi="Times New Roman" w:cs="Times New Roman"/>
          <w:sz w:val="24"/>
          <w:szCs w:val="24"/>
        </w:rPr>
        <w:t>64,0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величине расходов в структуре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="00A36AFA">
        <w:rPr>
          <w:rFonts w:ascii="Times New Roman" w:eastAsia="Times New Roman" w:hAnsi="Times New Roman" w:cs="Times New Roman"/>
          <w:sz w:val="24"/>
          <w:szCs w:val="24"/>
        </w:rPr>
        <w:t>05 «</w:t>
      </w:r>
      <w:r w:rsidR="00A36AFA" w:rsidRPr="003322E5">
        <w:rPr>
          <w:rFonts w:ascii="Times New Roman" w:eastAsia="Times New Roman" w:hAnsi="Times New Roman" w:cs="Times New Roman"/>
          <w:sz w:val="18"/>
          <w:szCs w:val="18"/>
        </w:rPr>
        <w:t>ЖИЛИЩНО-КОММУНАЛЬНОЕ ХОЗЯЙСТВО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14,7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16,6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18,9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3322E5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проекте бюджета занимают расходы по  разделу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CC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C14CA" w:rsidRPr="003322E5">
        <w:rPr>
          <w:rFonts w:ascii="Times New Roman" w:eastAsia="Times New Roman" w:hAnsi="Times New Roman" w:cs="Times New Roman"/>
          <w:sz w:val="18"/>
          <w:szCs w:val="18"/>
        </w:rPr>
        <w:t>НАЦИОНАЛЬНАЯ ЭКОНОМИКА</w:t>
      </w:r>
      <w:r w:rsidR="009B6CC0" w:rsidRPr="009B6CC0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бюджете поселения </w:t>
      </w:r>
      <w:r w:rsidR="009B6CC0">
        <w:rPr>
          <w:rFonts w:ascii="Times New Roman" w:eastAsia="Times New Roman" w:hAnsi="Times New Roman" w:cs="Times New Roman"/>
          <w:sz w:val="24"/>
          <w:szCs w:val="24"/>
        </w:rPr>
        <w:t>составляют 1,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3322E5" w:rsidRDefault="00820F11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3665E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665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565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90D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356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709"/>
        <w:gridCol w:w="678"/>
        <w:gridCol w:w="688"/>
        <w:gridCol w:w="519"/>
        <w:gridCol w:w="670"/>
        <w:gridCol w:w="709"/>
        <w:gridCol w:w="708"/>
      </w:tblGrid>
      <w:tr w:rsidR="00C82A35" w:rsidRPr="00194ADD" w:rsidTr="00072FE8">
        <w:tc>
          <w:tcPr>
            <w:tcW w:w="1993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Ожидае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жета</w:t>
            </w:r>
            <w:proofErr w:type="spellEnd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5653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5653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D440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D440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D440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5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072FE8">
        <w:tc>
          <w:tcPr>
            <w:tcW w:w="1993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7C49EB" w:rsidRPr="00194ADD" w:rsidTr="00072FE8">
        <w:tc>
          <w:tcPr>
            <w:tcW w:w="1993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7C49EB" w:rsidRPr="009A6EB7" w:rsidRDefault="007C49EB" w:rsidP="009242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7C49EB" w:rsidRPr="009A6EB7" w:rsidRDefault="007C49EB" w:rsidP="009242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9" w:type="dxa"/>
          </w:tcPr>
          <w:p w:rsidR="007C49EB" w:rsidRPr="009A6EB7" w:rsidRDefault="007C49EB" w:rsidP="009242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7C49EB" w:rsidRPr="009A6EB7" w:rsidRDefault="007C49EB" w:rsidP="007C49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C49EB" w:rsidRPr="009A6EB7" w:rsidRDefault="007C49EB" w:rsidP="007C49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C49EB" w:rsidRPr="009A6EB7" w:rsidRDefault="007C49EB" w:rsidP="007C49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81C20" w:rsidRPr="00194ADD" w:rsidTr="00781C20">
        <w:tc>
          <w:tcPr>
            <w:tcW w:w="1993" w:type="dxa"/>
          </w:tcPr>
          <w:p w:rsidR="00781C20" w:rsidRPr="00EE7144" w:rsidRDefault="00781C20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</w:t>
            </w: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ЫЕ ВОПРОСЫ</w:t>
            </w:r>
          </w:p>
        </w:tc>
        <w:tc>
          <w:tcPr>
            <w:tcW w:w="447" w:type="dxa"/>
          </w:tcPr>
          <w:p w:rsidR="00781C20" w:rsidRPr="00B33007" w:rsidRDefault="00781C20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2061,9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1751,6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1787,3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1505,5</w:t>
            </w:r>
          </w:p>
        </w:tc>
        <w:tc>
          <w:tcPr>
            <w:tcW w:w="67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-310,3</w:t>
            </w:r>
          </w:p>
        </w:tc>
        <w:tc>
          <w:tcPr>
            <w:tcW w:w="68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51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281,8</w:t>
            </w:r>
          </w:p>
        </w:tc>
        <w:tc>
          <w:tcPr>
            <w:tcW w:w="670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85,0</w:t>
            </w:r>
          </w:p>
        </w:tc>
        <w:tc>
          <w:tcPr>
            <w:tcW w:w="70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0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84,2</w:t>
            </w:r>
          </w:p>
        </w:tc>
      </w:tr>
      <w:tr w:rsidR="00781C20" w:rsidRPr="00194ADD" w:rsidTr="00781C20">
        <w:tc>
          <w:tcPr>
            <w:tcW w:w="1993" w:type="dxa"/>
          </w:tcPr>
          <w:p w:rsidR="00781C20" w:rsidRPr="00EE7144" w:rsidRDefault="00781C20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447" w:type="dxa"/>
          </w:tcPr>
          <w:p w:rsidR="00781C20" w:rsidRPr="00B33007" w:rsidRDefault="00781C20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67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68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70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781C20" w:rsidRPr="00194ADD" w:rsidTr="00781C20">
        <w:tc>
          <w:tcPr>
            <w:tcW w:w="1993" w:type="dxa"/>
          </w:tcPr>
          <w:p w:rsidR="00781C20" w:rsidRPr="00EE7144" w:rsidRDefault="00781C20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781C20" w:rsidRPr="00B33007" w:rsidRDefault="00781C20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-380,0</w:t>
            </w:r>
          </w:p>
        </w:tc>
        <w:tc>
          <w:tcPr>
            <w:tcW w:w="68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51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0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81C20" w:rsidRPr="00781C20" w:rsidRDefault="00137E9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81C20" w:rsidRPr="00194ADD" w:rsidTr="00781C20">
        <w:tc>
          <w:tcPr>
            <w:tcW w:w="1993" w:type="dxa"/>
          </w:tcPr>
          <w:p w:rsidR="00781C20" w:rsidRPr="00EE7144" w:rsidRDefault="00781C20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781C20" w:rsidRPr="00B33007" w:rsidRDefault="00781C20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7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8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781C20" w:rsidRPr="00781C20" w:rsidRDefault="00137E9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81C20" w:rsidRPr="00194ADD" w:rsidTr="00781C20">
        <w:tc>
          <w:tcPr>
            <w:tcW w:w="1993" w:type="dxa"/>
          </w:tcPr>
          <w:p w:rsidR="00781C20" w:rsidRPr="00EE7144" w:rsidRDefault="00781C20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781C20" w:rsidRPr="00B33007" w:rsidRDefault="00781C20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444,4</w:t>
            </w:r>
          </w:p>
        </w:tc>
        <w:tc>
          <w:tcPr>
            <w:tcW w:w="67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-135,0</w:t>
            </w:r>
          </w:p>
        </w:tc>
        <w:tc>
          <w:tcPr>
            <w:tcW w:w="68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51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670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70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113,1</w:t>
            </w:r>
          </w:p>
        </w:tc>
      </w:tr>
      <w:tr w:rsidR="00781C20" w:rsidRPr="00194ADD" w:rsidTr="00781C20">
        <w:tc>
          <w:tcPr>
            <w:tcW w:w="1993" w:type="dxa"/>
          </w:tcPr>
          <w:p w:rsidR="00781C20" w:rsidRPr="00EE7144" w:rsidRDefault="00781C20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781C20" w:rsidRPr="00B33007" w:rsidRDefault="00781C20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67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81C20" w:rsidRPr="00194ADD" w:rsidTr="00781C20">
        <w:tc>
          <w:tcPr>
            <w:tcW w:w="1993" w:type="dxa"/>
          </w:tcPr>
          <w:p w:rsidR="00781C20" w:rsidRPr="00EE7144" w:rsidRDefault="00781C20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781C20" w:rsidRPr="00B33007" w:rsidRDefault="00781C20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67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51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670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198,6</w:t>
            </w:r>
          </w:p>
        </w:tc>
      </w:tr>
      <w:tr w:rsidR="00781C20" w:rsidRPr="00194ADD" w:rsidTr="00781C20">
        <w:tc>
          <w:tcPr>
            <w:tcW w:w="1993" w:type="dxa"/>
            <w:shd w:val="clear" w:color="auto" w:fill="DAEEF3" w:themeFill="accent5" w:themeFillTint="33"/>
          </w:tcPr>
          <w:p w:rsidR="00781C20" w:rsidRPr="00EE7144" w:rsidRDefault="00781C20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781C20" w:rsidRPr="00B33007" w:rsidRDefault="00781C20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3204,3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2380,8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2369,7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2353,2</w:t>
            </w:r>
          </w:p>
        </w:tc>
        <w:tc>
          <w:tcPr>
            <w:tcW w:w="67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-823,5</w:t>
            </w:r>
          </w:p>
        </w:tc>
        <w:tc>
          <w:tcPr>
            <w:tcW w:w="68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-11,1</w:t>
            </w:r>
          </w:p>
        </w:tc>
        <w:tc>
          <w:tcPr>
            <w:tcW w:w="51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-16,5</w:t>
            </w:r>
          </w:p>
        </w:tc>
        <w:tc>
          <w:tcPr>
            <w:tcW w:w="670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709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08" w:type="dxa"/>
            <w:shd w:val="clear" w:color="auto" w:fill="FFFFFF" w:themeFill="background1"/>
          </w:tcPr>
          <w:p w:rsidR="00781C20" w:rsidRPr="00781C20" w:rsidRDefault="00781C20" w:rsidP="00781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99,3</w:t>
            </w:r>
          </w:p>
        </w:tc>
      </w:tr>
    </w:tbl>
    <w:p w:rsidR="00C82A35" w:rsidRPr="0045628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28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A4FF7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1751,6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(-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310,3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)тыс. рублей, или 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85,0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FA4FF7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A4FF7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1787,3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A4FF7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112F7C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A4FF7" w:rsidRPr="004562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F0DE2" w:rsidRPr="00456287">
        <w:rPr>
          <w:rFonts w:ascii="Times New Roman" w:eastAsia="Times New Roman" w:hAnsi="Times New Roman" w:cs="Times New Roman"/>
          <w:sz w:val="24"/>
          <w:szCs w:val="24"/>
        </w:rPr>
        <w:t xml:space="preserve">1505,5 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112F7C" w:rsidRPr="00456287">
        <w:rPr>
          <w:rFonts w:ascii="Times New Roman" w:eastAsia="Times New Roman" w:hAnsi="Times New Roman" w:cs="Times New Roman"/>
          <w:sz w:val="24"/>
          <w:szCs w:val="24"/>
        </w:rPr>
        <w:t>73,6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2020 году предусмотрены </w:t>
      </w:r>
      <w:proofErr w:type="gramStart"/>
      <w:r w:rsidRPr="004562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62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50DE" w:rsidRPr="000B1907" w:rsidRDefault="00C82A35" w:rsidP="00F1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>«Функционирование высшего должностного лица - 530,5 тыс. рублей;</w:t>
      </w:r>
    </w:p>
    <w:p w:rsidR="00F150DE" w:rsidRDefault="00F150DE" w:rsidP="00F1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82A35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972,2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945A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141B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945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945A44">
        <w:rPr>
          <w:rFonts w:ascii="Times New Roman" w:eastAsia="Times New Roman" w:hAnsi="Times New Roman" w:cs="Times New Roman"/>
          <w:sz w:val="24"/>
          <w:szCs w:val="24"/>
        </w:rPr>
        <w:t>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945A4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5D7A36">
        <w:rPr>
          <w:rFonts w:ascii="Times New Roman" w:eastAsia="Times New Roman" w:hAnsi="Times New Roman" w:cs="Times New Roman"/>
          <w:sz w:val="24"/>
          <w:szCs w:val="24"/>
        </w:rPr>
        <w:t xml:space="preserve">243,3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>88,8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 (к предыдущему году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>-0,1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>99,9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5D7A36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>9,7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>;           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A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7A36">
        <w:rPr>
          <w:rFonts w:ascii="Times New Roman" w:eastAsia="Times New Roman" w:hAnsi="Times New Roman" w:cs="Times New Roman"/>
          <w:sz w:val="24"/>
          <w:szCs w:val="24"/>
        </w:rPr>
        <w:t>93,2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3521B">
        <w:rPr>
          <w:rFonts w:ascii="Times New Roman" w:eastAsia="Times New Roman" w:hAnsi="Times New Roman" w:cs="Times New Roman"/>
          <w:sz w:val="24"/>
          <w:szCs w:val="24"/>
        </w:rPr>
        <w:t>3,</w:t>
      </w:r>
      <w:r w:rsidR="005D7A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150,0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380,0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28,3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07B3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7B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07B37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C07B37"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0400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</w:t>
      </w:r>
      <w:proofErr w:type="gram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A012A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2A012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A7212E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0400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400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4040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350,0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E43856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135,0)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72,2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393,0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444,4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14,7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290,0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50,</w:t>
      </w:r>
      <w:r w:rsidR="00527EC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7EC8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66FA8" w:rsidRPr="00281997" w:rsidRDefault="00466FA8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66FA8" w:rsidRPr="003525FD" w:rsidRDefault="00466FA8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>38,4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4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F03FD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F03F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66FA8" w:rsidRPr="003525FD" w:rsidRDefault="00466FA8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38,4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4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3E9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3E9E">
        <w:rPr>
          <w:rFonts w:ascii="Times New Roman" w:eastAsia="Times New Roman" w:hAnsi="Times New Roman" w:cs="Times New Roman"/>
          <w:sz w:val="24"/>
          <w:szCs w:val="24"/>
        </w:rPr>
        <w:t>38,4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466FA8" w:rsidRDefault="00466FA8" w:rsidP="0046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043E9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66FA8" w:rsidRDefault="00466FA8" w:rsidP="0046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</w:t>
      </w:r>
      <w:r w:rsidR="005E6D4F">
        <w:rPr>
          <w:rFonts w:ascii="Times New Roman" w:eastAsia="Times New Roman" w:hAnsi="Times New Roman" w:cs="Times New Roman"/>
          <w:sz w:val="24"/>
          <w:szCs w:val="24"/>
        </w:rPr>
        <w:t xml:space="preserve"> в сумме 38,4 тыс. рублей ежегодно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Pr="008953E4" w:rsidRDefault="00C82A35" w:rsidP="00C82A3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Default="00C82A35" w:rsidP="00C82A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2021-2022 годы утверждены, соответственно </w:t>
      </w:r>
      <w:r w:rsidR="00285D33">
        <w:rPr>
          <w:rFonts w:ascii="Times New Roman" w:eastAsia="Times New Roman" w:hAnsi="Times New Roman" w:cs="Times New Roman"/>
          <w:sz w:val="24"/>
          <w:szCs w:val="24"/>
        </w:rPr>
        <w:t>59,2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5D33">
        <w:rPr>
          <w:rFonts w:ascii="Times New Roman" w:eastAsia="Times New Roman" w:hAnsi="Times New Roman" w:cs="Times New Roman"/>
          <w:sz w:val="24"/>
          <w:szCs w:val="24"/>
        </w:rPr>
        <w:t>117,6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Дубровская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2333F3" w:rsidRDefault="002333F3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9D470C" w:rsidRPr="00681650" w:rsidRDefault="00AB1365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3F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3F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83F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</w:t>
      </w:r>
      <w:r w:rsidR="009D470C" w:rsidRPr="00D52CA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521B" w:rsidRPr="00D52CA1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365" w:rsidRPr="003A6DD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r w:rsidR="00304702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51F99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Проект бюджета поселения на 20</w:t>
      </w:r>
      <w:r w:rsidR="00C166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C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 по программно-целевому принципу, предусматривающему формирование расходов исходя из целей, установленных </w:t>
      </w:r>
      <w:r w:rsidR="00C74B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51F99" w:rsidRPr="003A2271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71">
        <w:rPr>
          <w:rFonts w:ascii="Times New Roman" w:eastAsia="Times New Roman" w:hAnsi="Times New Roman" w:cs="Times New Roman"/>
          <w:sz w:val="24"/>
          <w:szCs w:val="24"/>
        </w:rPr>
        <w:t xml:space="preserve">В Дубровском сельском поселении программы разработаны в соответствии с Порядком, утвержденным  постановлением Дубровской сельской администрации от </w:t>
      </w:r>
      <w:r w:rsidRPr="003A22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19.11.2014 года №181 «Об утверждении порядка разработки, реализации и оценки эффективности муниципальных программ». </w:t>
      </w:r>
    </w:p>
    <w:p w:rsidR="00D57272" w:rsidRPr="00D57272" w:rsidRDefault="00A51F99" w:rsidP="00A51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нарушение 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ч. 2 ст.179 Бюджетного кодекса РФ 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утвержден перечень 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программ, предлагаемы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 финансированию 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в 2021-2023 годах.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C166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годы)»;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C166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годы)»;</w:t>
      </w:r>
    </w:p>
    <w:p w:rsidR="00A51F99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Пожарная безопасность на территории 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B47" w:rsidRDefault="00C74B47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малого и среднего предпринимательства на территории Дубровского сельского поселения на 2019-2024 годы»</w:t>
      </w:r>
    </w:p>
    <w:p w:rsidR="00A51F99" w:rsidRPr="008967AA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7A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на 2021 год и на плановый период 2022 и 2023 годов» 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>расходы на реализацию целевых программ  в 20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2375,3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бюджета, что ниже ожидаемого исполнения бюджета 20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828,8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25,9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57272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8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993"/>
        <w:gridCol w:w="914"/>
      </w:tblGrid>
      <w:tr w:rsidR="00AB1365" w:rsidRPr="00AB1365" w:rsidTr="00B65074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2C70B5" w:rsidP="00C74B47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74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271A18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7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967AA" w:rsidRPr="00AB1365" w:rsidTr="008967AA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271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sz w:val="20"/>
                <w:szCs w:val="20"/>
              </w:rPr>
              <w:t>2584,9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sz w:val="20"/>
                <w:szCs w:val="20"/>
              </w:rPr>
              <w:t>2134,5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8967AA" w:rsidRPr="00AB1365" w:rsidTr="008967AA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271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8967AA" w:rsidRPr="00AB1365" w:rsidTr="008967AA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271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C74B47" w:rsidRPr="00AB1365" w:rsidTr="008967AA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AB1365" w:rsidRDefault="00C74B47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AB1365" w:rsidRDefault="00C74B47" w:rsidP="00C74B4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Дубровского сельского поселения на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8967AA" w:rsidRDefault="00C74B47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8967AA" w:rsidRDefault="00C74B47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8967AA" w:rsidRDefault="00556542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8967AA" w:rsidRDefault="00556542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13D6" w:rsidRPr="00AB1365" w:rsidTr="008967A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3D6" w:rsidRPr="00AB1365" w:rsidRDefault="00D313D6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3D6" w:rsidRPr="00AB1365" w:rsidRDefault="00D313D6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D6" w:rsidRPr="008967AA" w:rsidRDefault="00C74B47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D6" w:rsidRPr="008967AA" w:rsidRDefault="00556542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D6" w:rsidRPr="008967AA" w:rsidRDefault="00556542" w:rsidP="00896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D6" w:rsidRPr="008967AA" w:rsidRDefault="00556542" w:rsidP="00896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</w:tbl>
    <w:p w:rsidR="001759F7" w:rsidRPr="00D77815" w:rsidRDefault="001759F7" w:rsidP="0017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937CD9" w:rsidRPr="00937CD9" w:rsidRDefault="001759F7" w:rsidP="00937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епрограммные расходы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061FBD" w:rsidRPr="0078012D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01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  п. 1 ст. 185 Бюджетного кодекса РФ проект решения Дубровского сельского поселения о бюджете на  2021 год и на плановый период 2022 и 2023 годов представлен на экспертизу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12 дней </w:t>
      </w:r>
      <w:r w:rsidRPr="0078012D">
        <w:rPr>
          <w:rFonts w:ascii="Times New Roman" w:eastAsia="Times New Roman" w:hAnsi="Times New Roman" w:cs="Times New Roman"/>
          <w:b/>
          <w:i/>
          <w:sz w:val="24"/>
          <w:szCs w:val="24"/>
        </w:rPr>
        <w:t>позже установленного срока.</w:t>
      </w:r>
    </w:p>
    <w:p w:rsidR="00061FBD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Документы, представленные 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бюджете удовлетворяют требованиям 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91D" w:rsidRDefault="007E791D" w:rsidP="007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0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Дубровской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от 27.06.2016 г. №81-1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 и утвержден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Дубровской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51.</w:t>
      </w:r>
    </w:p>
    <w:p w:rsidR="00061FBD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Дубровской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11" w:history="1">
        <w:r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Послания Президента РФ Федеральному Собранию РФ, Указа Президента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0AB" w:rsidRPr="004E2A6E" w:rsidRDefault="005630AB" w:rsidP="005630AB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AD0D8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061FBD" w:rsidRPr="00766982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61FBD" w:rsidRPr="00766982" w:rsidRDefault="00061FBD" w:rsidP="00061F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6E4817" w:rsidRDefault="006E4817" w:rsidP="006E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 анализе проекта решения установлено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нарушение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96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проектом решения не утверждено, что:</w:t>
      </w:r>
    </w:p>
    <w:p w:rsidR="006E4817" w:rsidRDefault="006E4817" w:rsidP="006E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 остатки средств бюджета на начало текущего финансового года могут направляться на покрытие временных финансовых разрывов, возникающих при исполнении бюджета, на оплату заключенных муниципальных контрактов на поставку товаров, оказание услуг, подлежащих в соответствии с условиями этих муниципальных контрактов  оплате в отчетном финансовом году в объеме, не превышающем сумму остатка неиспользованных бюджетных ассигнований на указанные цели.  </w:t>
      </w:r>
      <w:proofErr w:type="gramEnd"/>
    </w:p>
    <w:p w:rsidR="008633BB" w:rsidRPr="00681650" w:rsidRDefault="008633BB" w:rsidP="00863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не утверждены источники внутреннего финансирования дефицита бюджета на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годов.</w:t>
      </w:r>
    </w:p>
    <w:p w:rsidR="00C70F23" w:rsidRPr="00766982" w:rsidRDefault="00C70F23" w:rsidP="00C7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2022 и 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C70F23" w:rsidRPr="00766982" w:rsidRDefault="00C70F23" w:rsidP="00C70F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2380,8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198,5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7,7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5630AB" w:rsidRDefault="005630AB" w:rsidP="0056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проекте решения </w:t>
      </w:r>
      <w:r w:rsidRPr="002B4F3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на 2021 год и на плановый период 2022 и 2023 годов»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составляет 2380,8 тыс. рублей. По отношению к объему расходов, ожидаемому к исполнению в</w:t>
      </w:r>
      <w:r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2021 году расходы, определенные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2020 год ниже на 823,5 тыс. рублей, или на 25,7%.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350" w:rsidRDefault="00180350" w:rsidP="001803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Условно утверждаемые расходы на плановый период 2021-2022 годы утверждены, соответственно 59,2 и 117,6 тыс. рублей, что составляет 2,5 и 5,0%% от суммы общей расходов. Ограничение ст. 184.1 Бюджетного кодекса РФ соблюдено.</w:t>
      </w:r>
    </w:p>
    <w:p w:rsidR="00C748C0" w:rsidRPr="00681650" w:rsidRDefault="00C748C0" w:rsidP="00C7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2022 и 2023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 (приложение №3). 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Проект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3F57AB" w:rsidRPr="003A2271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71">
        <w:rPr>
          <w:rFonts w:ascii="Times New Roman" w:eastAsia="Times New Roman" w:hAnsi="Times New Roman" w:cs="Times New Roman"/>
          <w:sz w:val="24"/>
          <w:szCs w:val="24"/>
        </w:rPr>
        <w:t xml:space="preserve">В Дубровском сельском поселении программы разработаны в соответствии с Порядком, утвержденным  постановлением Дубровской сельской администрации от 19.11.2014 года №181 «Об утверждении порядка разработки, реализации и оценки эффективности муниципальных программ». </w:t>
      </w:r>
    </w:p>
    <w:p w:rsidR="003F57AB" w:rsidRPr="00D57272" w:rsidRDefault="003F57AB" w:rsidP="003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ч. 2 ст.179 Бюджетного кодекса РФ не утвержден перечень муниципальных программ, предлагаемых к финансированию в 2021-2023 годах.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7AB" w:rsidRPr="008967AA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 В проекте  Решения </w:t>
      </w:r>
      <w:r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на 2021 год и на плановый период 2022 и 2023 годов» 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>расходы на реализацию целевых программ  в 2021 году составляют 2375,3 тыс. рублей, что  соответствует 99,8% объема расходов бюджета, что ниже ожидаемого исполнения бюджета 2020 года на 828,8 тыс. рублей, или на 25,9%.</w:t>
      </w:r>
    </w:p>
    <w:p w:rsidR="006113CB" w:rsidRPr="00D77815" w:rsidRDefault="006113CB" w:rsidP="0061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6113CB" w:rsidRPr="00937CD9" w:rsidRDefault="006113CB" w:rsidP="006113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412D47" w:rsidRPr="00AB1365" w:rsidRDefault="00412D47" w:rsidP="004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412D47" w:rsidRPr="00D91728" w:rsidRDefault="00412D47" w:rsidP="00412D47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r w:rsidR="00FA1055">
        <w:rPr>
          <w:bCs/>
          <w:sz w:val="24"/>
          <w:szCs w:val="24"/>
        </w:rPr>
        <w:t>Дубровского</w:t>
      </w:r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 решении необходимых характеристик бюджета.</w:t>
      </w:r>
    </w:p>
    <w:p w:rsidR="00412D47" w:rsidRPr="002254C9" w:rsidRDefault="00412D47" w:rsidP="00412D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r w:rsidR="00FA1055" w:rsidRPr="00AF56BE">
        <w:rPr>
          <w:rFonts w:ascii="Times New Roman" w:hAnsi="Times New Roman" w:cs="Times New Roman"/>
          <w:bCs/>
          <w:sz w:val="24"/>
          <w:szCs w:val="24"/>
        </w:rPr>
        <w:t>Дубровскому</w:t>
      </w:r>
      <w:r w:rsidRPr="00AF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r w:rsidR="00FA1055" w:rsidRPr="00AF56BE">
        <w:rPr>
          <w:rFonts w:ascii="Times New Roman" w:eastAsia="Times New Roman" w:hAnsi="Times New Roman" w:cs="Times New Roman"/>
          <w:bCs/>
          <w:sz w:val="24"/>
          <w:szCs w:val="24"/>
        </w:rPr>
        <w:t>Дубровского</w:t>
      </w:r>
      <w:r w:rsidRPr="00AF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Суражского муниципального района Брянской области»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7C21" w:rsidRDefault="003D7C21" w:rsidP="003E4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80F" w:rsidRPr="005E4A79" w:rsidRDefault="00B4680F" w:rsidP="00D414E7">
      <w:pPr>
        <w:spacing w:after="0" w:line="240" w:lineRule="auto"/>
        <w:jc w:val="both"/>
        <w:rPr>
          <w:sz w:val="24"/>
          <w:szCs w:val="24"/>
        </w:rPr>
      </w:pPr>
    </w:p>
    <w:sectPr w:rsidR="00B4680F" w:rsidRPr="005E4A79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10FC6"/>
    <w:rsid w:val="000123FF"/>
    <w:rsid w:val="00021626"/>
    <w:rsid w:val="00032314"/>
    <w:rsid w:val="00034919"/>
    <w:rsid w:val="00037F78"/>
    <w:rsid w:val="0004107B"/>
    <w:rsid w:val="00041848"/>
    <w:rsid w:val="00043E9E"/>
    <w:rsid w:val="00044366"/>
    <w:rsid w:val="00044819"/>
    <w:rsid w:val="00057801"/>
    <w:rsid w:val="00057E15"/>
    <w:rsid w:val="00061FBD"/>
    <w:rsid w:val="0006201B"/>
    <w:rsid w:val="0006393A"/>
    <w:rsid w:val="0006468E"/>
    <w:rsid w:val="000650CA"/>
    <w:rsid w:val="00072FE8"/>
    <w:rsid w:val="0007473A"/>
    <w:rsid w:val="00075159"/>
    <w:rsid w:val="00082AA9"/>
    <w:rsid w:val="00087AC7"/>
    <w:rsid w:val="00091C7C"/>
    <w:rsid w:val="0009411E"/>
    <w:rsid w:val="000A2A57"/>
    <w:rsid w:val="000A374A"/>
    <w:rsid w:val="000A4F13"/>
    <w:rsid w:val="000A5833"/>
    <w:rsid w:val="000B1907"/>
    <w:rsid w:val="000C08C2"/>
    <w:rsid w:val="000C32F0"/>
    <w:rsid w:val="000D138E"/>
    <w:rsid w:val="000D5C94"/>
    <w:rsid w:val="000E3844"/>
    <w:rsid w:val="00103C9F"/>
    <w:rsid w:val="00104CB9"/>
    <w:rsid w:val="00111F17"/>
    <w:rsid w:val="00112F7C"/>
    <w:rsid w:val="00113913"/>
    <w:rsid w:val="00115A4C"/>
    <w:rsid w:val="0013141B"/>
    <w:rsid w:val="00132B4A"/>
    <w:rsid w:val="00137E90"/>
    <w:rsid w:val="001430F8"/>
    <w:rsid w:val="001501AD"/>
    <w:rsid w:val="00161D4D"/>
    <w:rsid w:val="00166E59"/>
    <w:rsid w:val="001759F7"/>
    <w:rsid w:val="00176D1D"/>
    <w:rsid w:val="00180350"/>
    <w:rsid w:val="00186C4E"/>
    <w:rsid w:val="00194ADD"/>
    <w:rsid w:val="001A1D14"/>
    <w:rsid w:val="001A539F"/>
    <w:rsid w:val="001B3EA9"/>
    <w:rsid w:val="001C38DC"/>
    <w:rsid w:val="001D6E3A"/>
    <w:rsid w:val="001F12A4"/>
    <w:rsid w:val="0020221B"/>
    <w:rsid w:val="00203290"/>
    <w:rsid w:val="002078DF"/>
    <w:rsid w:val="00223D44"/>
    <w:rsid w:val="00224BD3"/>
    <w:rsid w:val="00225BF2"/>
    <w:rsid w:val="00230477"/>
    <w:rsid w:val="002333F3"/>
    <w:rsid w:val="00237296"/>
    <w:rsid w:val="00237644"/>
    <w:rsid w:val="002418BC"/>
    <w:rsid w:val="00256C73"/>
    <w:rsid w:val="0026447E"/>
    <w:rsid w:val="00271A18"/>
    <w:rsid w:val="00272D2A"/>
    <w:rsid w:val="0027470D"/>
    <w:rsid w:val="00285D33"/>
    <w:rsid w:val="002860C0"/>
    <w:rsid w:val="00287505"/>
    <w:rsid w:val="00290D79"/>
    <w:rsid w:val="002A012A"/>
    <w:rsid w:val="002A0603"/>
    <w:rsid w:val="002A06CB"/>
    <w:rsid w:val="002A0E31"/>
    <w:rsid w:val="002B4F30"/>
    <w:rsid w:val="002B7C0A"/>
    <w:rsid w:val="002C6524"/>
    <w:rsid w:val="002C70B5"/>
    <w:rsid w:val="002D148C"/>
    <w:rsid w:val="002D4B4C"/>
    <w:rsid w:val="002D65E1"/>
    <w:rsid w:val="002E119F"/>
    <w:rsid w:val="002E1B38"/>
    <w:rsid w:val="002E1E9F"/>
    <w:rsid w:val="002E50D9"/>
    <w:rsid w:val="002F4582"/>
    <w:rsid w:val="002F6270"/>
    <w:rsid w:val="002F630E"/>
    <w:rsid w:val="00302599"/>
    <w:rsid w:val="00304702"/>
    <w:rsid w:val="003055E9"/>
    <w:rsid w:val="0030744F"/>
    <w:rsid w:val="00312EC1"/>
    <w:rsid w:val="0031521B"/>
    <w:rsid w:val="00315E15"/>
    <w:rsid w:val="00330E11"/>
    <w:rsid w:val="00334188"/>
    <w:rsid w:val="00343D38"/>
    <w:rsid w:val="003507DC"/>
    <w:rsid w:val="00355EF0"/>
    <w:rsid w:val="0035693F"/>
    <w:rsid w:val="003665EE"/>
    <w:rsid w:val="003669C5"/>
    <w:rsid w:val="0037360D"/>
    <w:rsid w:val="0037560F"/>
    <w:rsid w:val="00382894"/>
    <w:rsid w:val="00382CE8"/>
    <w:rsid w:val="00386510"/>
    <w:rsid w:val="00387711"/>
    <w:rsid w:val="00391F07"/>
    <w:rsid w:val="003923E6"/>
    <w:rsid w:val="00394D23"/>
    <w:rsid w:val="003A260C"/>
    <w:rsid w:val="003A533F"/>
    <w:rsid w:val="003A64F1"/>
    <w:rsid w:val="003A6DD1"/>
    <w:rsid w:val="003A74A9"/>
    <w:rsid w:val="003B3B79"/>
    <w:rsid w:val="003C4568"/>
    <w:rsid w:val="003D7C21"/>
    <w:rsid w:val="003E01A7"/>
    <w:rsid w:val="003E4A0C"/>
    <w:rsid w:val="003F03FD"/>
    <w:rsid w:val="003F0660"/>
    <w:rsid w:val="003F1886"/>
    <w:rsid w:val="003F2812"/>
    <w:rsid w:val="003F40A9"/>
    <w:rsid w:val="003F5429"/>
    <w:rsid w:val="003F57AB"/>
    <w:rsid w:val="003F664F"/>
    <w:rsid w:val="004032AF"/>
    <w:rsid w:val="0040400A"/>
    <w:rsid w:val="00407684"/>
    <w:rsid w:val="00412D47"/>
    <w:rsid w:val="00425F66"/>
    <w:rsid w:val="004351D1"/>
    <w:rsid w:val="0043521B"/>
    <w:rsid w:val="00441FFE"/>
    <w:rsid w:val="004456EB"/>
    <w:rsid w:val="00451E37"/>
    <w:rsid w:val="00456287"/>
    <w:rsid w:val="004603D2"/>
    <w:rsid w:val="00465533"/>
    <w:rsid w:val="00466FA8"/>
    <w:rsid w:val="004721B2"/>
    <w:rsid w:val="00473670"/>
    <w:rsid w:val="00475193"/>
    <w:rsid w:val="00475786"/>
    <w:rsid w:val="00475FD9"/>
    <w:rsid w:val="0047713C"/>
    <w:rsid w:val="00481040"/>
    <w:rsid w:val="00496130"/>
    <w:rsid w:val="004B0AAD"/>
    <w:rsid w:val="004B7250"/>
    <w:rsid w:val="004C7234"/>
    <w:rsid w:val="004E2A6E"/>
    <w:rsid w:val="004F18A4"/>
    <w:rsid w:val="004F2AC8"/>
    <w:rsid w:val="004F4513"/>
    <w:rsid w:val="004F6AD6"/>
    <w:rsid w:val="00521432"/>
    <w:rsid w:val="0052340D"/>
    <w:rsid w:val="00525AC1"/>
    <w:rsid w:val="00527EC8"/>
    <w:rsid w:val="00542AEC"/>
    <w:rsid w:val="00544A79"/>
    <w:rsid w:val="00546D83"/>
    <w:rsid w:val="00550E30"/>
    <w:rsid w:val="00556542"/>
    <w:rsid w:val="00561B1A"/>
    <w:rsid w:val="00562BD6"/>
    <w:rsid w:val="005630AB"/>
    <w:rsid w:val="00565363"/>
    <w:rsid w:val="00565991"/>
    <w:rsid w:val="00571756"/>
    <w:rsid w:val="005878DC"/>
    <w:rsid w:val="005913A8"/>
    <w:rsid w:val="00592294"/>
    <w:rsid w:val="005A0E97"/>
    <w:rsid w:val="005A4D87"/>
    <w:rsid w:val="005B1704"/>
    <w:rsid w:val="005B35C1"/>
    <w:rsid w:val="005C4A38"/>
    <w:rsid w:val="005C7EB0"/>
    <w:rsid w:val="005D2246"/>
    <w:rsid w:val="005D40F3"/>
    <w:rsid w:val="005D4A8F"/>
    <w:rsid w:val="005D7A36"/>
    <w:rsid w:val="005E0175"/>
    <w:rsid w:val="005E0D27"/>
    <w:rsid w:val="005E1A5C"/>
    <w:rsid w:val="005E459B"/>
    <w:rsid w:val="005E4A79"/>
    <w:rsid w:val="005E64A9"/>
    <w:rsid w:val="005E6D4F"/>
    <w:rsid w:val="005F0F33"/>
    <w:rsid w:val="005F1FAE"/>
    <w:rsid w:val="005F251C"/>
    <w:rsid w:val="006036C0"/>
    <w:rsid w:val="00603B52"/>
    <w:rsid w:val="006113CB"/>
    <w:rsid w:val="00613E04"/>
    <w:rsid w:val="00622624"/>
    <w:rsid w:val="00626315"/>
    <w:rsid w:val="006264AE"/>
    <w:rsid w:val="006400B3"/>
    <w:rsid w:val="006419B4"/>
    <w:rsid w:val="00642961"/>
    <w:rsid w:val="00644DAB"/>
    <w:rsid w:val="00646F7A"/>
    <w:rsid w:val="00666689"/>
    <w:rsid w:val="00667E28"/>
    <w:rsid w:val="00670BFB"/>
    <w:rsid w:val="00680DD2"/>
    <w:rsid w:val="00681650"/>
    <w:rsid w:val="006875CE"/>
    <w:rsid w:val="0069337E"/>
    <w:rsid w:val="00693933"/>
    <w:rsid w:val="00695EEC"/>
    <w:rsid w:val="006A165A"/>
    <w:rsid w:val="006A25FA"/>
    <w:rsid w:val="006A3259"/>
    <w:rsid w:val="006A562D"/>
    <w:rsid w:val="006B2708"/>
    <w:rsid w:val="006C14CA"/>
    <w:rsid w:val="006C2EA3"/>
    <w:rsid w:val="006C3C3B"/>
    <w:rsid w:val="006C4248"/>
    <w:rsid w:val="006D2E08"/>
    <w:rsid w:val="006D60F4"/>
    <w:rsid w:val="006D6E32"/>
    <w:rsid w:val="006E1991"/>
    <w:rsid w:val="006E1A72"/>
    <w:rsid w:val="006E2B0E"/>
    <w:rsid w:val="006E4817"/>
    <w:rsid w:val="006E52C9"/>
    <w:rsid w:val="006F0457"/>
    <w:rsid w:val="007012D8"/>
    <w:rsid w:val="00702F84"/>
    <w:rsid w:val="007156FF"/>
    <w:rsid w:val="00716B0F"/>
    <w:rsid w:val="0073387D"/>
    <w:rsid w:val="0073403C"/>
    <w:rsid w:val="00734EA0"/>
    <w:rsid w:val="00744C95"/>
    <w:rsid w:val="0074640F"/>
    <w:rsid w:val="00755C78"/>
    <w:rsid w:val="007631FC"/>
    <w:rsid w:val="00766982"/>
    <w:rsid w:val="0078012D"/>
    <w:rsid w:val="00781C20"/>
    <w:rsid w:val="00783F7B"/>
    <w:rsid w:val="007857D8"/>
    <w:rsid w:val="007859E9"/>
    <w:rsid w:val="00792549"/>
    <w:rsid w:val="007928F2"/>
    <w:rsid w:val="00795070"/>
    <w:rsid w:val="007A2D57"/>
    <w:rsid w:val="007A3E56"/>
    <w:rsid w:val="007A4820"/>
    <w:rsid w:val="007A7F4F"/>
    <w:rsid w:val="007C3F84"/>
    <w:rsid w:val="007C49EB"/>
    <w:rsid w:val="007D1272"/>
    <w:rsid w:val="007D3D66"/>
    <w:rsid w:val="007D3E6F"/>
    <w:rsid w:val="007E145B"/>
    <w:rsid w:val="007E32ED"/>
    <w:rsid w:val="007E791D"/>
    <w:rsid w:val="007F03BB"/>
    <w:rsid w:val="007F1957"/>
    <w:rsid w:val="007F44D8"/>
    <w:rsid w:val="007F6806"/>
    <w:rsid w:val="007F6AF9"/>
    <w:rsid w:val="00802ACB"/>
    <w:rsid w:val="00803671"/>
    <w:rsid w:val="008078A1"/>
    <w:rsid w:val="008137C0"/>
    <w:rsid w:val="00820F11"/>
    <w:rsid w:val="00821129"/>
    <w:rsid w:val="0083044F"/>
    <w:rsid w:val="00835544"/>
    <w:rsid w:val="00840200"/>
    <w:rsid w:val="0084106A"/>
    <w:rsid w:val="008425EC"/>
    <w:rsid w:val="00844D63"/>
    <w:rsid w:val="00851B61"/>
    <w:rsid w:val="008551EA"/>
    <w:rsid w:val="00855E78"/>
    <w:rsid w:val="008633BB"/>
    <w:rsid w:val="00873CC3"/>
    <w:rsid w:val="00874327"/>
    <w:rsid w:val="00880D9E"/>
    <w:rsid w:val="00882D9E"/>
    <w:rsid w:val="00886078"/>
    <w:rsid w:val="00890124"/>
    <w:rsid w:val="00891EAD"/>
    <w:rsid w:val="0089405B"/>
    <w:rsid w:val="008967AA"/>
    <w:rsid w:val="008A1710"/>
    <w:rsid w:val="008A35E3"/>
    <w:rsid w:val="008B4AB6"/>
    <w:rsid w:val="008B6C4C"/>
    <w:rsid w:val="008C6231"/>
    <w:rsid w:val="008D2C7D"/>
    <w:rsid w:val="008D7072"/>
    <w:rsid w:val="008E0887"/>
    <w:rsid w:val="008E0B4A"/>
    <w:rsid w:val="008E35C6"/>
    <w:rsid w:val="009003AE"/>
    <w:rsid w:val="00900FF4"/>
    <w:rsid w:val="00901C11"/>
    <w:rsid w:val="00901D20"/>
    <w:rsid w:val="00903AC0"/>
    <w:rsid w:val="00904CCD"/>
    <w:rsid w:val="00913D8C"/>
    <w:rsid w:val="00914F32"/>
    <w:rsid w:val="00926ADB"/>
    <w:rsid w:val="00937CD9"/>
    <w:rsid w:val="00945A44"/>
    <w:rsid w:val="00950AD3"/>
    <w:rsid w:val="0095729C"/>
    <w:rsid w:val="00961D32"/>
    <w:rsid w:val="00972F50"/>
    <w:rsid w:val="00973A7B"/>
    <w:rsid w:val="009848D0"/>
    <w:rsid w:val="00990FE4"/>
    <w:rsid w:val="00993000"/>
    <w:rsid w:val="009A32F3"/>
    <w:rsid w:val="009A4237"/>
    <w:rsid w:val="009B35AE"/>
    <w:rsid w:val="009B6CC0"/>
    <w:rsid w:val="009C2BD6"/>
    <w:rsid w:val="009C5D36"/>
    <w:rsid w:val="009D14AA"/>
    <w:rsid w:val="009D470C"/>
    <w:rsid w:val="009D7E60"/>
    <w:rsid w:val="009E3364"/>
    <w:rsid w:val="009E6665"/>
    <w:rsid w:val="009E6C75"/>
    <w:rsid w:val="009F2933"/>
    <w:rsid w:val="009F5320"/>
    <w:rsid w:val="00A05B69"/>
    <w:rsid w:val="00A169FD"/>
    <w:rsid w:val="00A216D2"/>
    <w:rsid w:val="00A24CF9"/>
    <w:rsid w:val="00A260DD"/>
    <w:rsid w:val="00A26244"/>
    <w:rsid w:val="00A31961"/>
    <w:rsid w:val="00A33E3F"/>
    <w:rsid w:val="00A34C4A"/>
    <w:rsid w:val="00A3573F"/>
    <w:rsid w:val="00A35A58"/>
    <w:rsid w:val="00A36AFA"/>
    <w:rsid w:val="00A410C3"/>
    <w:rsid w:val="00A41F03"/>
    <w:rsid w:val="00A478D9"/>
    <w:rsid w:val="00A51F99"/>
    <w:rsid w:val="00A53698"/>
    <w:rsid w:val="00A60D7F"/>
    <w:rsid w:val="00A65089"/>
    <w:rsid w:val="00A6664A"/>
    <w:rsid w:val="00A7212E"/>
    <w:rsid w:val="00A75A95"/>
    <w:rsid w:val="00A81FA5"/>
    <w:rsid w:val="00A852EA"/>
    <w:rsid w:val="00A92469"/>
    <w:rsid w:val="00AA2FF3"/>
    <w:rsid w:val="00AB1365"/>
    <w:rsid w:val="00AB1F07"/>
    <w:rsid w:val="00AB5698"/>
    <w:rsid w:val="00AB7083"/>
    <w:rsid w:val="00AB7A4D"/>
    <w:rsid w:val="00AC428C"/>
    <w:rsid w:val="00AD0D82"/>
    <w:rsid w:val="00AD5C95"/>
    <w:rsid w:val="00AD75A0"/>
    <w:rsid w:val="00AE358E"/>
    <w:rsid w:val="00AE7406"/>
    <w:rsid w:val="00AF56BE"/>
    <w:rsid w:val="00B21C76"/>
    <w:rsid w:val="00B2507F"/>
    <w:rsid w:val="00B27CA9"/>
    <w:rsid w:val="00B37064"/>
    <w:rsid w:val="00B40F25"/>
    <w:rsid w:val="00B4680F"/>
    <w:rsid w:val="00B47C05"/>
    <w:rsid w:val="00B61830"/>
    <w:rsid w:val="00B6252A"/>
    <w:rsid w:val="00B65074"/>
    <w:rsid w:val="00B6665C"/>
    <w:rsid w:val="00B765D8"/>
    <w:rsid w:val="00B77A48"/>
    <w:rsid w:val="00B85307"/>
    <w:rsid w:val="00B854DA"/>
    <w:rsid w:val="00B91C1C"/>
    <w:rsid w:val="00B93D30"/>
    <w:rsid w:val="00BA0711"/>
    <w:rsid w:val="00BB405B"/>
    <w:rsid w:val="00BB4AAA"/>
    <w:rsid w:val="00BC323F"/>
    <w:rsid w:val="00BE226C"/>
    <w:rsid w:val="00BE45BF"/>
    <w:rsid w:val="00BF0DE2"/>
    <w:rsid w:val="00BF1B6E"/>
    <w:rsid w:val="00BF2DA9"/>
    <w:rsid w:val="00BF72B3"/>
    <w:rsid w:val="00C00B1B"/>
    <w:rsid w:val="00C06B54"/>
    <w:rsid w:val="00C07B37"/>
    <w:rsid w:val="00C10927"/>
    <w:rsid w:val="00C12C7E"/>
    <w:rsid w:val="00C166AB"/>
    <w:rsid w:val="00C17916"/>
    <w:rsid w:val="00C26C4E"/>
    <w:rsid w:val="00C30323"/>
    <w:rsid w:val="00C3690E"/>
    <w:rsid w:val="00C52ADC"/>
    <w:rsid w:val="00C5552A"/>
    <w:rsid w:val="00C56F68"/>
    <w:rsid w:val="00C625B5"/>
    <w:rsid w:val="00C6777F"/>
    <w:rsid w:val="00C67B02"/>
    <w:rsid w:val="00C7078E"/>
    <w:rsid w:val="00C70F23"/>
    <w:rsid w:val="00C748C0"/>
    <w:rsid w:val="00C74B47"/>
    <w:rsid w:val="00C77FA0"/>
    <w:rsid w:val="00C802AF"/>
    <w:rsid w:val="00C80DA4"/>
    <w:rsid w:val="00C81B4E"/>
    <w:rsid w:val="00C82A35"/>
    <w:rsid w:val="00C834E2"/>
    <w:rsid w:val="00C92A44"/>
    <w:rsid w:val="00C94C5F"/>
    <w:rsid w:val="00C95F09"/>
    <w:rsid w:val="00C977C9"/>
    <w:rsid w:val="00CA4B15"/>
    <w:rsid w:val="00CA4E98"/>
    <w:rsid w:val="00CA5AD7"/>
    <w:rsid w:val="00CA76FA"/>
    <w:rsid w:val="00CC37B4"/>
    <w:rsid w:val="00CC3F63"/>
    <w:rsid w:val="00CC5339"/>
    <w:rsid w:val="00CC686C"/>
    <w:rsid w:val="00CC7478"/>
    <w:rsid w:val="00CD072E"/>
    <w:rsid w:val="00CE3619"/>
    <w:rsid w:val="00CE55BD"/>
    <w:rsid w:val="00CF23D7"/>
    <w:rsid w:val="00CF28FC"/>
    <w:rsid w:val="00CF6697"/>
    <w:rsid w:val="00CF6FB6"/>
    <w:rsid w:val="00CF7E8B"/>
    <w:rsid w:val="00D01767"/>
    <w:rsid w:val="00D0679B"/>
    <w:rsid w:val="00D06838"/>
    <w:rsid w:val="00D16007"/>
    <w:rsid w:val="00D213FE"/>
    <w:rsid w:val="00D313D6"/>
    <w:rsid w:val="00D32376"/>
    <w:rsid w:val="00D32DE4"/>
    <w:rsid w:val="00D414E7"/>
    <w:rsid w:val="00D4405A"/>
    <w:rsid w:val="00D4488B"/>
    <w:rsid w:val="00D45A52"/>
    <w:rsid w:val="00D5124A"/>
    <w:rsid w:val="00D521FD"/>
    <w:rsid w:val="00D52CA1"/>
    <w:rsid w:val="00D54249"/>
    <w:rsid w:val="00D54C12"/>
    <w:rsid w:val="00D57272"/>
    <w:rsid w:val="00D60C33"/>
    <w:rsid w:val="00D62E1C"/>
    <w:rsid w:val="00D70840"/>
    <w:rsid w:val="00D71D17"/>
    <w:rsid w:val="00D76277"/>
    <w:rsid w:val="00D83118"/>
    <w:rsid w:val="00D842EB"/>
    <w:rsid w:val="00DA2047"/>
    <w:rsid w:val="00DA249A"/>
    <w:rsid w:val="00DB1C4A"/>
    <w:rsid w:val="00DB3398"/>
    <w:rsid w:val="00DB4EF2"/>
    <w:rsid w:val="00DB72BC"/>
    <w:rsid w:val="00DC0D33"/>
    <w:rsid w:val="00DC2B0F"/>
    <w:rsid w:val="00DD286C"/>
    <w:rsid w:val="00DD3E98"/>
    <w:rsid w:val="00DD5CA7"/>
    <w:rsid w:val="00DE40D6"/>
    <w:rsid w:val="00DF2BE0"/>
    <w:rsid w:val="00E030DF"/>
    <w:rsid w:val="00E11E02"/>
    <w:rsid w:val="00E1220B"/>
    <w:rsid w:val="00E225B1"/>
    <w:rsid w:val="00E2599F"/>
    <w:rsid w:val="00E2790E"/>
    <w:rsid w:val="00E30F44"/>
    <w:rsid w:val="00E34C11"/>
    <w:rsid w:val="00E43856"/>
    <w:rsid w:val="00E46501"/>
    <w:rsid w:val="00E56FD3"/>
    <w:rsid w:val="00E710B5"/>
    <w:rsid w:val="00E71753"/>
    <w:rsid w:val="00E75A7C"/>
    <w:rsid w:val="00E81510"/>
    <w:rsid w:val="00E82A1B"/>
    <w:rsid w:val="00E82DD0"/>
    <w:rsid w:val="00E87844"/>
    <w:rsid w:val="00E91E56"/>
    <w:rsid w:val="00E92C5A"/>
    <w:rsid w:val="00E9607E"/>
    <w:rsid w:val="00E97392"/>
    <w:rsid w:val="00EA1185"/>
    <w:rsid w:val="00EA3D7A"/>
    <w:rsid w:val="00EA758B"/>
    <w:rsid w:val="00EB0386"/>
    <w:rsid w:val="00EB1AD6"/>
    <w:rsid w:val="00EC0079"/>
    <w:rsid w:val="00EC10E5"/>
    <w:rsid w:val="00ED26A6"/>
    <w:rsid w:val="00ED2F0D"/>
    <w:rsid w:val="00ED3016"/>
    <w:rsid w:val="00ED6A63"/>
    <w:rsid w:val="00EE7FFB"/>
    <w:rsid w:val="00EF3191"/>
    <w:rsid w:val="00F150DE"/>
    <w:rsid w:val="00F31910"/>
    <w:rsid w:val="00F32E1F"/>
    <w:rsid w:val="00F372C8"/>
    <w:rsid w:val="00F37730"/>
    <w:rsid w:val="00F524AD"/>
    <w:rsid w:val="00F643F1"/>
    <w:rsid w:val="00F6517D"/>
    <w:rsid w:val="00F65618"/>
    <w:rsid w:val="00F65881"/>
    <w:rsid w:val="00F770D3"/>
    <w:rsid w:val="00F805CF"/>
    <w:rsid w:val="00F95DFF"/>
    <w:rsid w:val="00FA00C5"/>
    <w:rsid w:val="00FA1055"/>
    <w:rsid w:val="00FA106C"/>
    <w:rsid w:val="00FA28CF"/>
    <w:rsid w:val="00FA4FF7"/>
    <w:rsid w:val="00FA7579"/>
    <w:rsid w:val="00FA78C8"/>
    <w:rsid w:val="00FC172D"/>
    <w:rsid w:val="00FC6530"/>
    <w:rsid w:val="00FD0275"/>
    <w:rsid w:val="00FE1D8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B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099F-38B6-4680-BFE0-77C6524D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13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577</cp:revision>
  <cp:lastPrinted>2020-12-10T07:19:00Z</cp:lastPrinted>
  <dcterms:created xsi:type="dcterms:W3CDTF">2018-04-16T09:55:00Z</dcterms:created>
  <dcterms:modified xsi:type="dcterms:W3CDTF">2020-12-22T14:24:00Z</dcterms:modified>
</cp:coreProperties>
</file>