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AB1365" w:rsidRPr="00FC653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 </w:t>
      </w:r>
      <w:r w:rsidR="005B0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 Брянской области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5737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BB7D6E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 w:rsidRPr="00BB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          </w:t>
      </w:r>
      <w:r w:rsidR="005555D3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.12.</w:t>
      </w:r>
      <w:r w:rsidR="002C70B5" w:rsidRPr="00BB7D6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555D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2C70B5" w:rsidRPr="00BB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AB1365" w:rsidRPr="00734EA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B7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B1365" w:rsidRPr="00734EA0" w:rsidRDefault="00AB1365" w:rsidP="0057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Pr="005B087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5737B6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5737B6" w:rsidRPr="005B0873">
        <w:rPr>
          <w:rFonts w:ascii="Times New Roman" w:eastAsia="Times New Roman" w:hAnsi="Times New Roman" w:cs="Times New Roman"/>
          <w:bCs/>
          <w:sz w:val="24"/>
          <w:szCs w:val="24"/>
        </w:rPr>
        <w:t>Кулажского</w:t>
      </w:r>
      <w:proofErr w:type="spellEnd"/>
      <w:r w:rsidR="005737B6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 </w:t>
      </w:r>
      <w:r w:rsid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5737B6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 Брянской области на 2021 год и на плановый период 2022 и 2023 годов» </w:t>
      </w:r>
      <w:r w:rsidRPr="005B0873">
        <w:rPr>
          <w:rFonts w:ascii="Times New Roman" w:eastAsia="Times New Roman" w:hAnsi="Times New Roman" w:cs="Times New Roman"/>
          <w:sz w:val="24"/>
          <w:szCs w:val="24"/>
        </w:rPr>
        <w:t>подготовлено в соответствии с Бюджетным Кодексом Российской Федерации,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37B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, приказа №</w:t>
      </w:r>
      <w:r w:rsidR="00C00B1B"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7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37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00B1B" w:rsidRPr="00734E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37B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9D45B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7834E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34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7834E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34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8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D75CDC" w:rsidRPr="00CE2B4B">
        <w:rPr>
          <w:rFonts w:ascii="Times New Roman" w:eastAsia="Times New Roman" w:hAnsi="Times New Roman" w:cs="Times New Roman"/>
          <w:sz w:val="24"/>
          <w:szCs w:val="24"/>
        </w:rPr>
        <w:t xml:space="preserve">от 28.07.2016 г. №110-1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9D45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5B2" w:rsidRPr="008120A1" w:rsidRDefault="009D45B2" w:rsidP="009D45B2">
      <w:pPr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  <w:r w:rsidRPr="008120A1">
        <w:rPr>
          <w:rFonts w:ascii="Times New Roman" w:hAnsi="Times New Roman"/>
          <w:b/>
          <w:i/>
        </w:rPr>
        <w:t xml:space="preserve">В нарушение п.3 ст. 173 Бюджетного кодекса Российской Федерации отсутствует правовой акт об одобрении прогноза социально-экономического развития </w:t>
      </w:r>
      <w:proofErr w:type="spellStart"/>
      <w:r w:rsidRPr="008120A1">
        <w:rPr>
          <w:rFonts w:ascii="Times New Roman" w:hAnsi="Times New Roman"/>
          <w:b/>
          <w:i/>
        </w:rPr>
        <w:t>Кулажского</w:t>
      </w:r>
      <w:proofErr w:type="spellEnd"/>
      <w:r w:rsidRPr="008120A1">
        <w:rPr>
          <w:rFonts w:ascii="Times New Roman" w:hAnsi="Times New Roman"/>
          <w:b/>
          <w:i/>
        </w:rPr>
        <w:t xml:space="preserve"> сельского поселения.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Название населенных пунктов, входящих в состав поселения: 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-село Кулаги; 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-деревни –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Жемердеевка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Беловодка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Княж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Селище, Каменск,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Лагутовка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>, Поповка, Новая Кисловка, Старая Кисловка;</w:t>
      </w:r>
    </w:p>
    <w:p w:rsidR="007379BD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-поселки Лесное, Речное, Машина, Алексеевский, Никольский, Гришанов, Острица, Ленинский, Алешкин, Заполье, Красный Завод, Лебедин, Александровский, Колесников. </w:t>
      </w:r>
      <w:proofErr w:type="gramEnd"/>
    </w:p>
    <w:p w:rsidR="0055526C" w:rsidRPr="00435272" w:rsidRDefault="0055526C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поселения 21417 га.</w:t>
      </w:r>
    </w:p>
    <w:p w:rsidR="007379BD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lastRenderedPageBreak/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AF" w:rsidRPr="00734EA0" w:rsidRDefault="00640CAF" w:rsidP="00640C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характеризуется неблагоприятным демографическим положением. 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сокращение численности населения, обусловленное более чем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пятикратным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превышением смертности над рождаемостью, которое не компенсируется миграционным приростом.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2048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экономически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 Основным источником дохода населения является заработная плата, вспомогательным – доходы от личного подсобного хозяйства. Количество личных подсобных хозяйств поселения-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904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</w:p>
    <w:p w:rsidR="00640CAF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ФГУ «Комбинат Слава»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202</w:t>
      </w:r>
      <w:r w:rsidR="00A66C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ФГУ «Комбинат Слава» и сельскохозяйственные угодья АПХ «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В своих прогнозах предприятие планирует рост заработной платы. Инвестиции в основной капитал планируется в сельскохозяйственных предприятиях на воспроизводство стада КРС.</w:t>
      </w:r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предпринимателей. Объекты общественного питания на территории поселения отсутствуют.</w:t>
      </w:r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Наличие социально-культурных объектов: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7962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поселенческий центральный Дом культуры»,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Жемердеевский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Каменский сельский дом культуры,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поселенческая центральная библиотека»,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Жемердеевская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библиотека,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бибилиотека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Каменская сельская библиотека,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МБОУ "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СОШ",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МБОУ "Каменская ООШ",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 ФАП, Каменский ФАП,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ФАП,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ФАП.</w:t>
      </w:r>
      <w:proofErr w:type="gramEnd"/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управляющая компания ООО УК «Сервис» (содержание жилого фонда) и МУП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 (отопление и водоснабжение жилого фонда).</w:t>
      </w:r>
    </w:p>
    <w:p w:rsidR="00640CAF" w:rsidRPr="00734EA0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Транспортное сообщение на территории поселения обеспечивается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Суражским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АТП. Для успешного развития экономики необходимо поддерживать сообщение между всеми населенными пунктами.</w:t>
      </w:r>
      <w:r w:rsidRPr="00734E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C238C0" w:rsidRDefault="00C238C0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2C0679">
        <w:rPr>
          <w:rFonts w:ascii="Times New Roman" w:eastAsia="Times New Roman" w:hAnsi="Times New Roman" w:cs="Times New Roman"/>
          <w:b/>
          <w:sz w:val="24"/>
          <w:szCs w:val="24"/>
        </w:rPr>
        <w:t>Кулажское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2021 и 2022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103C9F" w:rsidRPr="005E4A79" w:rsidRDefault="00103C9F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FD" w:rsidRPr="001736AC" w:rsidRDefault="001736AC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1 ст. 185 Бюджетного кодекса РФ </w:t>
      </w:r>
      <w:r w:rsidR="00D521FD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AB1365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роект решения </w:t>
      </w:r>
      <w:proofErr w:type="spellStart"/>
      <w:r w:rsidR="002C0679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="00AB1365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</w:t>
      </w:r>
      <w:r w:rsidR="00D521FD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1365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1E2A8E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AB1365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 w:rsidR="001E2A8E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AB1365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2C70B5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1E2A8E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2C70B5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="00AB1365"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а, </w:t>
      </w:r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т. е. на </w:t>
      </w:r>
      <w:r w:rsidR="001E2A8E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дней позже установленного срока.</w:t>
      </w:r>
    </w:p>
    <w:p w:rsidR="00AB1365" w:rsidRPr="005E4A79" w:rsidRDefault="00890124" w:rsidP="00D521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885E34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 бюджетной системы РФ.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FF2386" w:rsidRDefault="00FF2386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D32DE4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55</w:t>
      </w:r>
      <w:r w:rsidR="004318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разработаны с учетом положений основных </w:t>
      </w:r>
      <w:hyperlink r:id="rId9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Послания Президента РФ Федеральному Собранию РФ,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9D574B" w:rsidRDefault="009D574B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184.1 БК РФ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предлагается утвер</w:t>
      </w:r>
      <w:r w:rsidR="00ED10D2">
        <w:rPr>
          <w:rFonts w:ascii="Times New Roman" w:eastAsia="Times New Roman" w:hAnsi="Times New Roman" w:cs="Times New Roman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2119,8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2119,8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1F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1F72">
        <w:rPr>
          <w:rFonts w:ascii="Times New Roman" w:eastAsia="Times New Roman" w:hAnsi="Times New Roman" w:cs="Times New Roman"/>
          <w:sz w:val="24"/>
          <w:szCs w:val="24"/>
        </w:rPr>
        <w:t>821,8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1F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1F72">
        <w:rPr>
          <w:rFonts w:ascii="Times New Roman" w:eastAsia="Times New Roman" w:hAnsi="Times New Roman" w:cs="Times New Roman"/>
          <w:sz w:val="24"/>
          <w:szCs w:val="24"/>
        </w:rPr>
        <w:t>824,7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1F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1F72">
        <w:rPr>
          <w:rFonts w:ascii="Times New Roman" w:eastAsia="Times New Roman" w:hAnsi="Times New Roman" w:cs="Times New Roman"/>
          <w:sz w:val="24"/>
          <w:szCs w:val="24"/>
        </w:rPr>
        <w:t>826,2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1F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1B1F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1B1F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A57A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A57A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57019D">
        <w:rPr>
          <w:rFonts w:ascii="Times New Roman" w:eastAsia="Times New Roman" w:hAnsi="Times New Roman" w:cs="Times New Roman"/>
          <w:sz w:val="24"/>
          <w:szCs w:val="24"/>
        </w:rPr>
        <w:t>Кулажским</w:t>
      </w:r>
      <w:proofErr w:type="spellEnd"/>
      <w:r w:rsidR="0057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11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811170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11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117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811170" w:rsidRPr="00811170" w:rsidRDefault="00811170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1170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184.1 БК соблюдена не в полной мере, проектом Решения не утверждены:</w:t>
      </w:r>
    </w:p>
    <w:p w:rsidR="003E4A0C" w:rsidRDefault="003E4A0C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проектом решения не утверждены Источники финансирования дефицита бюджета поселения.</w:t>
      </w:r>
    </w:p>
    <w:p w:rsidR="00562BD6" w:rsidRDefault="00562BD6" w:rsidP="0056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ст. 184.1 БК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701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утвержден объем межбюджетных </w:t>
      </w:r>
      <w:proofErr w:type="gramStart"/>
      <w:r w:rsidR="0057019D">
        <w:rPr>
          <w:rFonts w:ascii="Times New Roman" w:eastAsia="Times New Roman" w:hAnsi="Times New Roman" w:cs="Times New Roman"/>
          <w:b/>
          <w:i/>
          <w:sz w:val="24"/>
          <w:szCs w:val="24"/>
        </w:rPr>
        <w:t>трансфертов</w:t>
      </w:r>
      <w:proofErr w:type="gramEnd"/>
      <w:r w:rsidR="005701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передаваемых поселением</w:t>
      </w:r>
      <w:r w:rsidR="008111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объеме 0,5 тыс. рублей ежегодно</w:t>
      </w:r>
      <w:r w:rsidR="0057019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67450" w:rsidRPr="00CE544C" w:rsidRDefault="00767450" w:rsidP="0056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1365" w:rsidRPr="00766982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6745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674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76745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674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59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767450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F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F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F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F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F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F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F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F6688" w:rsidRPr="003C765A" w:rsidTr="00767450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688" w:rsidRPr="003C765A" w:rsidRDefault="005F668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688" w:rsidRPr="003C765A" w:rsidRDefault="005F668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5F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DF07A7" w:rsidRPr="003C765A" w:rsidTr="00C24000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A7" w:rsidRPr="003C765A" w:rsidRDefault="00DF07A7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</w:tr>
      <w:tr w:rsidR="00DF07A7" w:rsidRPr="003C765A" w:rsidTr="00C24000">
        <w:trPr>
          <w:trHeight w:val="21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A7" w:rsidRPr="003C765A" w:rsidRDefault="00DF07A7" w:rsidP="00640CAF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</w:tr>
      <w:tr w:rsidR="00DF07A7" w:rsidRPr="003C765A" w:rsidTr="00C24000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A7" w:rsidRPr="003C765A" w:rsidRDefault="00DF07A7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7A7" w:rsidRPr="00DF07A7" w:rsidRDefault="00DF07A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7A7" w:rsidRPr="00DF07A7" w:rsidRDefault="00DF07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F57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 xml:space="preserve">2119,8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8A246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400,1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15,9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2119,8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599,3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22,0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F57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2068,7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>величением 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44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97,6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F57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B944D7">
        <w:rPr>
          <w:rFonts w:ascii="Times New Roman" w:eastAsia="Times New Roman" w:hAnsi="Times New Roman" w:cs="Times New Roman"/>
          <w:sz w:val="24"/>
          <w:szCs w:val="24"/>
        </w:rPr>
        <w:t>2022,2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увеличением к прогнозируемому объему доходов и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44D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944D7">
        <w:rPr>
          <w:rFonts w:ascii="Times New Roman" w:eastAsia="Times New Roman" w:hAnsi="Times New Roman" w:cs="Times New Roman"/>
          <w:sz w:val="24"/>
          <w:szCs w:val="24"/>
        </w:rPr>
        <w:t>97,8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 в 20</w:t>
      </w:r>
      <w:r w:rsidR="00B944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944D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944D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62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046"/>
        <w:gridCol w:w="854"/>
        <w:gridCol w:w="902"/>
        <w:gridCol w:w="715"/>
        <w:gridCol w:w="990"/>
        <w:gridCol w:w="736"/>
        <w:gridCol w:w="887"/>
        <w:gridCol w:w="914"/>
      </w:tblGrid>
      <w:tr w:rsidR="00EB1AD6" w:rsidRPr="00465637" w:rsidTr="00161A80">
        <w:trPr>
          <w:trHeight w:val="285"/>
          <w:jc w:val="center"/>
        </w:trPr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C08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161A8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61A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161A8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61A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161A8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61A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61A80" w:rsidRPr="00465637" w:rsidTr="00161A80">
        <w:trPr>
          <w:trHeight w:val="510"/>
          <w:jc w:val="center"/>
        </w:trPr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A80" w:rsidRPr="00465637" w:rsidRDefault="00161A80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A80" w:rsidRPr="00465637" w:rsidRDefault="00161A80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C81E4C" w:rsidRPr="00465637" w:rsidTr="00C24000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4C" w:rsidRPr="00465637" w:rsidRDefault="00C81E4C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-400,1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C81E4C" w:rsidRPr="00465637" w:rsidTr="00C24000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4C" w:rsidRPr="00465637" w:rsidRDefault="00C81E4C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</w:tr>
      <w:tr w:rsidR="00C81E4C" w:rsidRPr="00465637" w:rsidTr="00C24000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4C" w:rsidRPr="00465637" w:rsidRDefault="00C81E4C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C81E4C" w:rsidRPr="00465637" w:rsidTr="00C24000">
        <w:trPr>
          <w:trHeight w:val="31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4C" w:rsidRPr="00465637" w:rsidRDefault="00C81E4C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-168,1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E4C" w:rsidRPr="00C81E4C" w:rsidRDefault="00C81E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4C" w:rsidRPr="00C81E4C" w:rsidRDefault="00C81E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</w:tr>
    </w:tbl>
    <w:p w:rsidR="00EB1AD6" w:rsidRPr="005C372F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F9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20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15,9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400,1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за счет суммы:</w:t>
      </w:r>
    </w:p>
    <w:p w:rsidR="00EB1AD6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на </w:t>
      </w:r>
      <w:r w:rsidR="00995F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229,0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на 15,6%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:rsidR="006F0BDB" w:rsidRPr="005C372F" w:rsidRDefault="006F0BDB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безвозмездных поступлений на -168,1 тыс. рублей, или на 17,0%.</w:t>
      </w:r>
    </w:p>
    <w:p w:rsidR="00EB1AD6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При этом планируется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небольшое снижение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в плановом периоде 202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95,6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95,9</w:t>
      </w:r>
      <w:r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9A70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0,2</w:t>
      </w:r>
      <w:r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ED6A63" w:rsidRPr="005C372F" w:rsidRDefault="00ED6A63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C06BF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06BF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D1C2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709"/>
        <w:gridCol w:w="1134"/>
        <w:gridCol w:w="708"/>
        <w:gridCol w:w="992"/>
        <w:gridCol w:w="709"/>
        <w:gridCol w:w="30"/>
      </w:tblGrid>
      <w:tr w:rsidR="006B2708" w:rsidRPr="00304924" w:rsidTr="0020221B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C06BF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06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C06BF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06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C06BF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06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C06BF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06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20221B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20221B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6C20" w:rsidRPr="00304924" w:rsidTr="009A7035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20" w:rsidRPr="00304924" w:rsidRDefault="002D6C20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" w:type="dxa"/>
            <w:vAlign w:val="center"/>
          </w:tcPr>
          <w:p w:rsidR="002D6C20" w:rsidRPr="00304924" w:rsidRDefault="002D6C20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6C20" w:rsidRPr="00304924" w:rsidTr="009A7035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20" w:rsidRPr="00304924" w:rsidRDefault="002D6C20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30" w:type="dxa"/>
            <w:vAlign w:val="center"/>
            <w:hideMark/>
          </w:tcPr>
          <w:p w:rsidR="002D6C20" w:rsidRPr="00304924" w:rsidRDefault="002D6C20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6C20" w:rsidRPr="00304924" w:rsidTr="009A7035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20" w:rsidRPr="00304924" w:rsidRDefault="002D6C20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0" w:type="dxa"/>
            <w:vAlign w:val="center"/>
            <w:hideMark/>
          </w:tcPr>
          <w:p w:rsidR="002D6C20" w:rsidRPr="00304924" w:rsidRDefault="002D6C20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6C20" w:rsidRPr="00304924" w:rsidTr="009A7035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20" w:rsidRPr="00304924" w:rsidRDefault="002D6C20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C20" w:rsidRPr="002D6C20" w:rsidRDefault="002D6C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C20" w:rsidRPr="002D6C20" w:rsidRDefault="002D6C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C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30" w:type="dxa"/>
            <w:vAlign w:val="center"/>
            <w:hideMark/>
          </w:tcPr>
          <w:p w:rsidR="002D6C20" w:rsidRPr="00304924" w:rsidRDefault="002D6C20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640CA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11C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 xml:space="preserve">оставшись на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составит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0,3</w:t>
      </w:r>
      <w:r w:rsidR="00D11C4C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пунктов.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38,8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что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3E4912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–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57,2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56,2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D11C4C">
        <w:rPr>
          <w:rFonts w:ascii="Times New Roman" w:eastAsia="Times New Roman" w:hAnsi="Times New Roman" w:cs="Times New Roman"/>
          <w:sz w:val="24"/>
          <w:szCs w:val="24"/>
        </w:rPr>
        <w:t xml:space="preserve">немного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D11C4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Безвозмездные поступления в структуре доходов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составят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 xml:space="preserve"> 39,9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40,9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6B2708" w:rsidRPr="00D323C1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6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7E7177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</w:t>
      </w:r>
      <w:r w:rsidR="009D546A" w:rsidRPr="007E71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FC75A1" w:rsidRPr="007E7177">
        <w:rPr>
          <w:rFonts w:ascii="Times New Roman" w:eastAsia="Times New Roman" w:hAnsi="Times New Roman" w:cs="Times New Roman"/>
          <w:sz w:val="24"/>
          <w:szCs w:val="24"/>
        </w:rPr>
        <w:t>1240,0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C75A1" w:rsidRPr="007E717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20</w:t>
      </w:r>
      <w:r w:rsidR="00FC75A1" w:rsidRPr="007E71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FC75A1" w:rsidRPr="007E7177">
        <w:rPr>
          <w:rFonts w:ascii="Times New Roman" w:eastAsia="Times New Roman" w:hAnsi="Times New Roman" w:cs="Times New Roman"/>
          <w:sz w:val="24"/>
          <w:szCs w:val="24"/>
        </w:rPr>
        <w:t>227,0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FC75A1" w:rsidRPr="007E7177">
        <w:rPr>
          <w:rFonts w:ascii="Times New Roman" w:eastAsia="Times New Roman" w:hAnsi="Times New Roman" w:cs="Times New Roman"/>
          <w:sz w:val="24"/>
          <w:szCs w:val="24"/>
        </w:rPr>
        <w:t>15,5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>%. Темп роста налоговых доходов к предшествующему году в 202</w:t>
      </w:r>
      <w:r w:rsidR="00FC75A1" w:rsidRPr="007E71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FC75A1" w:rsidRPr="007E71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 </w:t>
      </w:r>
      <w:r w:rsidR="00FC75A1" w:rsidRPr="007E7177">
        <w:rPr>
          <w:rFonts w:ascii="Times New Roman" w:eastAsia="Times New Roman" w:hAnsi="Times New Roman" w:cs="Times New Roman"/>
          <w:sz w:val="24"/>
          <w:szCs w:val="24"/>
        </w:rPr>
        <w:t>95,6</w:t>
      </w:r>
      <w:r w:rsidR="004F6AD6" w:rsidRPr="007E717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C75A1" w:rsidRPr="007E7177">
        <w:rPr>
          <w:rFonts w:ascii="Times New Roman" w:eastAsia="Times New Roman" w:hAnsi="Times New Roman" w:cs="Times New Roman"/>
          <w:sz w:val="24"/>
          <w:szCs w:val="24"/>
        </w:rPr>
        <w:t>96,0</w:t>
      </w:r>
      <w:r w:rsidRPr="007E7177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DC2B0F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FC75A1">
        <w:rPr>
          <w:rFonts w:ascii="Times New Roman" w:eastAsia="Times New Roman" w:hAnsi="Times New Roman" w:cs="Times New Roman"/>
          <w:sz w:val="24"/>
          <w:szCs w:val="24"/>
        </w:rPr>
        <w:t>82,9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FC75A1">
        <w:rPr>
          <w:rFonts w:ascii="Times New Roman" w:eastAsia="Times New Roman" w:hAnsi="Times New Roman" w:cs="Times New Roman"/>
          <w:sz w:val="24"/>
          <w:szCs w:val="24"/>
        </w:rPr>
        <w:t>8,5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57233D" w:rsidRDefault="006B2708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D546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202</w:t>
      </w:r>
      <w:r w:rsidR="009D546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9D546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D54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EA1185" w:rsidRPr="001223F6" w:rsidTr="00E825FC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366D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66D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14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A1185" w:rsidRPr="001223F6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66D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14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1223F6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66D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E825FC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E825FC" w:rsidRPr="001223F6" w:rsidTr="00E825FC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E825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E825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E825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B8072F" w:rsidRPr="001223F6" w:rsidTr="00B8072F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1 467,0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1 186,0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96,0</w:t>
            </w:r>
          </w:p>
        </w:tc>
      </w:tr>
      <w:tr w:rsidR="00B8072F" w:rsidRPr="001223F6" w:rsidTr="00B8072F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106,5</w:t>
            </w:r>
          </w:p>
        </w:tc>
      </w:tr>
      <w:tr w:rsidR="00B8072F" w:rsidRPr="001223F6" w:rsidTr="00B8072F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8072F" w:rsidRPr="001223F6" w:rsidTr="00B8072F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</w:tr>
      <w:tr w:rsidR="00B8072F" w:rsidRPr="001223F6" w:rsidTr="00B8072F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</w:tr>
      <w:tr w:rsidR="00B8072F" w:rsidRPr="001223F6" w:rsidTr="00B8072F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8072F" w:rsidRPr="001223F6" w:rsidTr="00B8072F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8072F" w:rsidRPr="001223F6" w:rsidTr="00B8072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8072F" w:rsidRPr="001223F6" w:rsidTr="00B8072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8072F" w:rsidRPr="001223F6" w:rsidTr="00B8072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8072F" w:rsidRPr="001223F6" w:rsidTr="00B8072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1223F6" w:rsidRDefault="00B8072F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2F" w:rsidRPr="00B8072F" w:rsidRDefault="00B8072F" w:rsidP="00B807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102,0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E374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FE3740">
        <w:rPr>
          <w:rFonts w:ascii="Times New Roman" w:eastAsia="Times New Roman" w:hAnsi="Times New Roman" w:cs="Times New Roman"/>
          <w:sz w:val="24"/>
          <w:szCs w:val="24"/>
        </w:rPr>
        <w:t>8,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налога на доходы физических лиц в 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105,9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10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E3740">
        <w:rPr>
          <w:rFonts w:ascii="Times New Roman" w:eastAsia="Times New Roman" w:hAnsi="Times New Roman" w:cs="Times New Roman"/>
          <w:sz w:val="24"/>
          <w:szCs w:val="24"/>
        </w:rPr>
        <w:t>соответствует ожидаемому уровню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105,0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10,3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8,5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2021-2022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93,3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102,0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1028,0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222,0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на 17,8%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82,9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94,8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94,2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6B2D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4,8%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 ожидаемого исполнения 20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4608C" w:rsidRDefault="00B93D30" w:rsidP="0064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2020 год планируются в сумме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60,0</w:t>
      </w:r>
      <w:r w:rsidR="0064608C"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20,5</w:t>
      </w:r>
      <w:r w:rsidR="0064608C"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, или в 1,5 раза выше ожидаемого исполнения 2020 года.</w:t>
      </w:r>
      <w:r w:rsidR="0064608C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данного 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Темп роста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100,0% соответственно. 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не планируются.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не планируются. </w:t>
      </w:r>
    </w:p>
    <w:p w:rsidR="00B93D30" w:rsidRPr="00C67B02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BC4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821,8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20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168,1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802862" w:rsidRPr="00BD4BC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17,0</w:t>
      </w:r>
      <w:r w:rsidR="00802862" w:rsidRPr="00BD4BC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4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BD4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38,8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>%. Темп роста безвозмездных поступлений в 202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BD4BC4" w:rsidRPr="00BD4BC4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BD4BC4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Pr="00C67B02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9229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E717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E717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7E717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67A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692"/>
        <w:gridCol w:w="708"/>
        <w:gridCol w:w="692"/>
        <w:gridCol w:w="708"/>
        <w:gridCol w:w="709"/>
      </w:tblGrid>
      <w:tr w:rsidR="00AD75A0" w:rsidRPr="00967271" w:rsidTr="007E7177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F67A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67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F67A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67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F67A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67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F67A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67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7E7177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7E7177" w:rsidRPr="00967271" w:rsidTr="007E7177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7E7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7E7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7E7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DB0359" w:rsidRPr="00967271" w:rsidTr="00DB0359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967271" w:rsidRDefault="00DB0359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989,9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821,8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824,7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-168,1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DB0359" w:rsidRPr="00967271" w:rsidTr="00DB0359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4133FC" w:rsidRDefault="00DB0359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-168,0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DB0359" w:rsidRPr="00967271" w:rsidTr="00DB0359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4133FC" w:rsidRDefault="00DB0359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B0359" w:rsidRPr="00967271" w:rsidTr="00DB0359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4133FC" w:rsidRDefault="00DB0359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103,9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дотации бюджетам субъектов РФ и муниципальных образований – 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89,2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733,0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168,0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C3D2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18,6</w:t>
      </w:r>
      <w:r w:rsidR="009C3D2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. Темп роста дотаций в 20</w:t>
      </w:r>
      <w:r w:rsidR="005A0E97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-0,3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189,0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544,0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88,8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 xml:space="preserve">0,1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10,8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%. Темп роста субвенций в 20</w:t>
      </w:r>
      <w:r w:rsidR="00F65881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CB0A02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>3,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CE3B8B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B8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CE3B8B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CE3B8B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2C0679" w:rsidRPr="00CE3B8B">
        <w:rPr>
          <w:rFonts w:ascii="Times New Roman" w:eastAsia="Times New Roman" w:hAnsi="Times New Roman" w:cs="Times New Roman"/>
          <w:sz w:val="24"/>
          <w:szCs w:val="24"/>
        </w:rPr>
        <w:t>Кулажско</w:t>
      </w:r>
      <w:r w:rsidR="00C67CB8" w:rsidRPr="00CE3B8B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882D9E" w:rsidRPr="00CE3B8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C67CB8" w:rsidRPr="00CE3B8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82D9E" w:rsidRPr="00CE3B8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C67CB8" w:rsidRPr="00CE3B8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2D9E" w:rsidRPr="00CE3B8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C70B5" w:rsidRPr="00CE3B8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7CB8" w:rsidRPr="00CE3B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 w:rsidRPr="00CE3B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CE3B8B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2C70B5" w:rsidRPr="00CE3B8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7CB8" w:rsidRPr="00CE3B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 w:rsidRPr="00CE3B8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C67CB8" w:rsidRPr="00CE3B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 w:rsidRPr="00CE3B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CE3B8B">
        <w:rPr>
          <w:rFonts w:ascii="Times New Roman" w:eastAsia="Times New Roman" w:hAnsi="Times New Roman" w:cs="Times New Roman"/>
          <w:sz w:val="24"/>
          <w:szCs w:val="24"/>
        </w:rPr>
        <w:t>ов»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67CB8" w:rsidRPr="00CE3B8B">
        <w:rPr>
          <w:rFonts w:ascii="Times New Roman" w:eastAsia="Times New Roman" w:hAnsi="Times New Roman" w:cs="Times New Roman"/>
          <w:sz w:val="24"/>
          <w:szCs w:val="24"/>
        </w:rPr>
        <w:t>2119,8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977EE" w:rsidRPr="00CE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7CB8" w:rsidRPr="00CE3B8B">
        <w:rPr>
          <w:rFonts w:ascii="Times New Roman" w:eastAsia="Times New Roman" w:hAnsi="Times New Roman" w:cs="Times New Roman"/>
          <w:sz w:val="24"/>
          <w:szCs w:val="24"/>
        </w:rPr>
        <w:t>2068,7</w:t>
      </w:r>
      <w:r w:rsidR="00F977EE" w:rsidRPr="00CE3B8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C67CB8" w:rsidRPr="00CE3B8B">
        <w:rPr>
          <w:rFonts w:ascii="Times New Roman" w:eastAsia="Times New Roman" w:hAnsi="Times New Roman" w:cs="Times New Roman"/>
          <w:sz w:val="24"/>
          <w:szCs w:val="24"/>
        </w:rPr>
        <w:t>2022,2 т</w:t>
      </w:r>
      <w:r w:rsidR="00F977EE" w:rsidRPr="00CE3B8B">
        <w:rPr>
          <w:rFonts w:ascii="Times New Roman" w:eastAsia="Times New Roman" w:hAnsi="Times New Roman" w:cs="Times New Roman"/>
          <w:sz w:val="24"/>
          <w:szCs w:val="24"/>
        </w:rPr>
        <w:t>ыс. рублей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. По отношению к объему расходов, ожидаемому </w:t>
      </w:r>
      <w:r w:rsidR="00882D9E" w:rsidRPr="00CE3B8B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3B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</w:t>
      </w:r>
      <w:r w:rsidR="00D66B49" w:rsidRPr="00CE3B8B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901C11" w:rsidRPr="00CE3B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3B8B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в проекте </w:t>
      </w:r>
      <w:r w:rsidR="00D66B49" w:rsidRPr="00CE3B8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ешения на </w:t>
      </w:r>
      <w:r w:rsidR="002C70B5" w:rsidRPr="00CE3B8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66B49" w:rsidRPr="00CE3B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 w:rsidRPr="00CE3B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1" w:rsidRPr="00CE3B8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66B49" w:rsidRPr="00CE3B8B">
        <w:rPr>
          <w:rFonts w:ascii="Times New Roman" w:eastAsia="Times New Roman" w:hAnsi="Times New Roman" w:cs="Times New Roman"/>
          <w:sz w:val="24"/>
          <w:szCs w:val="24"/>
        </w:rPr>
        <w:t>599,3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66B49" w:rsidRPr="00CE3B8B">
        <w:rPr>
          <w:rFonts w:ascii="Times New Roman" w:eastAsia="Times New Roman" w:hAnsi="Times New Roman" w:cs="Times New Roman"/>
          <w:sz w:val="24"/>
          <w:szCs w:val="24"/>
        </w:rPr>
        <w:t>22,0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343D38" w:rsidRDefault="00820F11" w:rsidP="00640CAF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6C12F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6C12F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6C12F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B4003B">
        <w:trPr>
          <w:trHeight w:val="831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B13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исполнение бюджета 20</w:t>
            </w:r>
            <w:r w:rsidR="006C1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C1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6C1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C1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6C1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C1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6C1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4C00A6">
        <w:trPr>
          <w:trHeight w:val="416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B1D4D" w:rsidRPr="003322E5" w:rsidTr="00A96360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1864,5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1899,3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</w:tr>
      <w:tr w:rsidR="00FB1D4D" w:rsidRPr="003322E5" w:rsidTr="00A9636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</w:tr>
      <w:tr w:rsidR="00FB1D4D" w:rsidRPr="003322E5" w:rsidTr="00A96360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1D4D" w:rsidRPr="003322E5" w:rsidTr="00A96360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1D4D" w:rsidRPr="003322E5" w:rsidTr="00A96360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FB1D4D" w:rsidRPr="003322E5" w:rsidTr="00A9636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440D75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1D4D" w:rsidRPr="003322E5" w:rsidTr="00A9636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3322E5" w:rsidRDefault="00FB1D4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3322E5" w:rsidRDefault="00FB1D4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FB1D4D" w:rsidRPr="003322E5" w:rsidTr="00A9636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3322E5" w:rsidRDefault="00FB1D4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1D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4D" w:rsidRPr="00FB1D4D" w:rsidRDefault="00FB1D4D" w:rsidP="00FB1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1D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20F11" w:rsidRPr="003322E5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годов являются общегосударственные вопросы – 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91,3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91,8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89,0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</w:t>
      </w:r>
    </w:p>
    <w:p w:rsidR="00820F11" w:rsidRPr="003322E5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в проекте бюджета занимают расходы по  разделу 0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E3B8B" w:rsidRPr="00CE3B8B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>», объем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которых составляет 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, 4,3% и 4,6% соответственно.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бюджете поселения </w:t>
      </w:r>
      <w:r w:rsidR="00BC04E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е запланированы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Pr="003322E5" w:rsidRDefault="00403DED" w:rsidP="00403DED">
      <w:pPr>
        <w:tabs>
          <w:tab w:val="left" w:pos="2880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20F11"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820F11"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20F11"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03D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39"/>
        <w:gridCol w:w="678"/>
        <w:gridCol w:w="678"/>
        <w:gridCol w:w="688"/>
        <w:gridCol w:w="619"/>
        <w:gridCol w:w="670"/>
        <w:gridCol w:w="709"/>
        <w:gridCol w:w="708"/>
      </w:tblGrid>
      <w:tr w:rsidR="00C82A35" w:rsidRPr="00194ADD" w:rsidTr="00C430B8">
        <w:tc>
          <w:tcPr>
            <w:tcW w:w="1993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жета</w:t>
            </w:r>
            <w:proofErr w:type="spellEnd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403D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403D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03D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03D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678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03D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C430B8">
        <w:tc>
          <w:tcPr>
            <w:tcW w:w="1993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403DED" w:rsidRPr="00194ADD" w:rsidTr="00C430B8">
        <w:tc>
          <w:tcPr>
            <w:tcW w:w="1993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403DED" w:rsidRPr="009A6EB7" w:rsidRDefault="00403DED" w:rsidP="00866C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403DED" w:rsidRPr="009A6EB7" w:rsidRDefault="00403DED" w:rsidP="00866C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403DED" w:rsidRPr="009A6EB7" w:rsidRDefault="00403DED" w:rsidP="00866C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403DED" w:rsidRPr="009A6EB7" w:rsidRDefault="00403DED" w:rsidP="00403D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03DED" w:rsidRPr="009A6EB7" w:rsidRDefault="00403DED" w:rsidP="00403D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03DED" w:rsidRPr="009A6EB7" w:rsidRDefault="00403DED" w:rsidP="00403D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1916" w:rsidRPr="00194ADD" w:rsidTr="00EC1916">
        <w:tc>
          <w:tcPr>
            <w:tcW w:w="1993" w:type="dxa"/>
          </w:tcPr>
          <w:p w:rsidR="00EC1916" w:rsidRPr="00EE7144" w:rsidRDefault="00EC191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EC1916" w:rsidRPr="00B33007" w:rsidRDefault="00EC191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1864,5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1935,9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1899,3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1799,9</w:t>
            </w:r>
          </w:p>
        </w:tc>
        <w:tc>
          <w:tcPr>
            <w:tcW w:w="67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68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-36,6</w:t>
            </w:r>
          </w:p>
        </w:tc>
        <w:tc>
          <w:tcPr>
            <w:tcW w:w="61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-99,4</w:t>
            </w:r>
          </w:p>
        </w:tc>
        <w:tc>
          <w:tcPr>
            <w:tcW w:w="670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70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</w:tr>
      <w:tr w:rsidR="00EC1916" w:rsidRPr="00194ADD" w:rsidTr="00EC1916">
        <w:tc>
          <w:tcPr>
            <w:tcW w:w="1993" w:type="dxa"/>
          </w:tcPr>
          <w:p w:rsidR="00EC1916" w:rsidRPr="00EE7144" w:rsidRDefault="00EC191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EC1916" w:rsidRPr="00B33007" w:rsidRDefault="00EC191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67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68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1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70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0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  <w:tr w:rsidR="00EC1916" w:rsidRPr="00194ADD" w:rsidTr="00EC1916">
        <w:tc>
          <w:tcPr>
            <w:tcW w:w="1993" w:type="dxa"/>
          </w:tcPr>
          <w:p w:rsidR="00EC1916" w:rsidRPr="00EE7144" w:rsidRDefault="00EC191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EC1916" w:rsidRPr="00B33007" w:rsidRDefault="00EC191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EC1916" w:rsidRPr="00EC1916" w:rsidRDefault="00EC1916" w:rsidP="00866C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C1916" w:rsidRPr="00EC1916" w:rsidRDefault="00EC1916" w:rsidP="00866C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EC1916" w:rsidRPr="00EC1916" w:rsidRDefault="00EC1916" w:rsidP="00866C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C1916" w:rsidRPr="00194ADD" w:rsidTr="00EC1916">
        <w:tc>
          <w:tcPr>
            <w:tcW w:w="1993" w:type="dxa"/>
          </w:tcPr>
          <w:p w:rsidR="00EC1916" w:rsidRPr="00EE7144" w:rsidRDefault="00EC191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EC1916" w:rsidRPr="00B33007" w:rsidRDefault="00EC191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EC1916" w:rsidRPr="00EC1916" w:rsidRDefault="00EC1916" w:rsidP="00866C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C1916" w:rsidRPr="00EC1916" w:rsidRDefault="00EC1916" w:rsidP="00866C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EC1916" w:rsidRPr="00EC1916" w:rsidRDefault="00EC1916" w:rsidP="00866C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C1916" w:rsidRPr="00194ADD" w:rsidTr="00EC1916">
        <w:tc>
          <w:tcPr>
            <w:tcW w:w="1993" w:type="dxa"/>
          </w:tcPr>
          <w:p w:rsidR="00EC1916" w:rsidRPr="00EE7144" w:rsidRDefault="00EC191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EC1916" w:rsidRPr="00B33007" w:rsidRDefault="00EC191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765,7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7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-670,6</w:t>
            </w:r>
          </w:p>
        </w:tc>
        <w:tc>
          <w:tcPr>
            <w:tcW w:w="68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-67,1</w:t>
            </w:r>
          </w:p>
        </w:tc>
        <w:tc>
          <w:tcPr>
            <w:tcW w:w="61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70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C1916" w:rsidRPr="00194ADD" w:rsidTr="00EC1916">
        <w:tc>
          <w:tcPr>
            <w:tcW w:w="1993" w:type="dxa"/>
          </w:tcPr>
          <w:p w:rsidR="00EC1916" w:rsidRPr="00EE7144" w:rsidRDefault="00EC191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EC1916" w:rsidRPr="00B33007" w:rsidRDefault="00EC191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EC1916" w:rsidRPr="00EC1916" w:rsidRDefault="00EC1916" w:rsidP="00866C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C1916" w:rsidRPr="00EC1916" w:rsidRDefault="00EC1916" w:rsidP="00866C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EC1916" w:rsidRPr="00EC1916" w:rsidRDefault="00EC1916" w:rsidP="00866C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C1916" w:rsidRPr="00194ADD" w:rsidTr="00EC1916">
        <w:tc>
          <w:tcPr>
            <w:tcW w:w="1993" w:type="dxa"/>
          </w:tcPr>
          <w:p w:rsidR="00EC1916" w:rsidRPr="00EE7144" w:rsidRDefault="00EC191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EC1916" w:rsidRPr="00B33007" w:rsidRDefault="00EC191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67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61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670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195,6</w:t>
            </w:r>
          </w:p>
        </w:tc>
      </w:tr>
      <w:tr w:rsidR="00EC1916" w:rsidRPr="00194ADD" w:rsidTr="00EC1916">
        <w:tc>
          <w:tcPr>
            <w:tcW w:w="1993" w:type="dxa"/>
            <w:shd w:val="clear" w:color="auto" w:fill="C6D9F1" w:themeFill="text2" w:themeFillTint="33"/>
          </w:tcPr>
          <w:p w:rsidR="00EC1916" w:rsidRPr="00EE7144" w:rsidRDefault="00EC1916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C6D9F1" w:themeFill="text2" w:themeFillTint="33"/>
          </w:tcPr>
          <w:p w:rsidR="00EC1916" w:rsidRPr="00B33007" w:rsidRDefault="00EC1916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2719,1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2119,8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2068,7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2022,2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-599,3</w:t>
            </w:r>
          </w:p>
        </w:tc>
        <w:tc>
          <w:tcPr>
            <w:tcW w:w="68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-51,1</w:t>
            </w:r>
          </w:p>
        </w:tc>
        <w:tc>
          <w:tcPr>
            <w:tcW w:w="61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670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C1916" w:rsidRPr="00EC1916" w:rsidRDefault="00EC1916" w:rsidP="00EC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3775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A5ACA">
        <w:rPr>
          <w:rFonts w:ascii="Times New Roman" w:eastAsia="Calibri" w:hAnsi="Times New Roman" w:cs="Times New Roman"/>
          <w:sz w:val="24"/>
          <w:szCs w:val="24"/>
          <w:lang w:eastAsia="en-US"/>
        </w:rPr>
        <w:t>1935,9</w:t>
      </w:r>
      <w:r w:rsidR="006D2D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393991">
        <w:rPr>
          <w:rFonts w:ascii="Times New Roman" w:eastAsia="Calibri" w:hAnsi="Times New Roman" w:cs="Times New Roman"/>
          <w:sz w:val="24"/>
          <w:szCs w:val="24"/>
          <w:lang w:eastAsia="en-US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393991">
        <w:rPr>
          <w:rFonts w:ascii="Times New Roman" w:eastAsia="Calibri" w:hAnsi="Times New Roman" w:cs="Times New Roman"/>
          <w:sz w:val="24"/>
          <w:szCs w:val="24"/>
          <w:lang w:eastAsia="en-US"/>
        </w:rPr>
        <w:t>103,8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3775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A5ACA">
        <w:rPr>
          <w:rFonts w:ascii="Times New Roman" w:eastAsia="Calibri" w:hAnsi="Times New Roman" w:cs="Times New Roman"/>
          <w:sz w:val="24"/>
          <w:szCs w:val="24"/>
          <w:lang w:eastAsia="en-US"/>
        </w:rPr>
        <w:t>1899,3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393991">
        <w:rPr>
          <w:rFonts w:ascii="Times New Roman" w:eastAsia="Calibri" w:hAnsi="Times New Roman" w:cs="Times New Roman"/>
          <w:sz w:val="24"/>
          <w:szCs w:val="24"/>
          <w:lang w:eastAsia="en-US"/>
        </w:rPr>
        <w:t>-36,6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93991">
        <w:rPr>
          <w:rFonts w:ascii="Times New Roman" w:eastAsia="Calibri" w:hAnsi="Times New Roman" w:cs="Times New Roman"/>
          <w:sz w:val="24"/>
          <w:szCs w:val="24"/>
          <w:lang w:eastAsia="en-US"/>
        </w:rPr>
        <w:t>98,1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</w:t>
      </w:r>
      <w:r w:rsidR="000377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A5ACA">
        <w:rPr>
          <w:rFonts w:ascii="Times New Roman" w:eastAsia="Times New Roman" w:hAnsi="Times New Roman" w:cs="Times New Roman"/>
          <w:sz w:val="24"/>
          <w:szCs w:val="24"/>
        </w:rPr>
        <w:t>1799,9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3939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-99,4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393991">
        <w:rPr>
          <w:rFonts w:ascii="Times New Roman" w:eastAsia="Calibri" w:hAnsi="Times New Roman" w:cs="Times New Roman"/>
          <w:sz w:val="24"/>
          <w:szCs w:val="24"/>
          <w:lang w:eastAsia="en-US"/>
        </w:rPr>
        <w:t>94,8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BD2AE5">
        <w:rPr>
          <w:rFonts w:ascii="Times New Roman" w:eastAsia="Times New Roman" w:hAnsi="Times New Roman" w:cs="Times New Roman"/>
          <w:sz w:val="24"/>
          <w:szCs w:val="24"/>
        </w:rPr>
        <w:t>91,3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BD2AE5">
        <w:rPr>
          <w:rFonts w:ascii="Times New Roman" w:eastAsia="Times New Roman" w:hAnsi="Times New Roman" w:cs="Times New Roman"/>
          <w:sz w:val="24"/>
          <w:szCs w:val="24"/>
        </w:rPr>
        <w:t>1103,3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63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393" w:rsidRDefault="005D6393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функционирование главы администрации </w:t>
      </w:r>
      <w:r w:rsidR="00BD2AE5">
        <w:rPr>
          <w:rFonts w:ascii="Times New Roman" w:eastAsia="Times New Roman" w:hAnsi="Times New Roman" w:cs="Times New Roman"/>
          <w:sz w:val="24"/>
          <w:szCs w:val="24"/>
        </w:rPr>
        <w:t>535,0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BD2A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BD2AE5">
        <w:rPr>
          <w:rFonts w:ascii="Times New Roman" w:eastAsia="Times New Roman" w:hAnsi="Times New Roman" w:cs="Times New Roman"/>
          <w:sz w:val="24"/>
          <w:szCs w:val="24"/>
        </w:rPr>
        <w:t>292,0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>88,8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>-0,1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>99,9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89,7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>1,0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103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E1037">
        <w:rPr>
          <w:rFonts w:ascii="Times New Roman" w:eastAsia="Times New Roman" w:hAnsi="Times New Roman" w:cs="Times New Roman"/>
          <w:sz w:val="24"/>
          <w:szCs w:val="24"/>
        </w:rPr>
        <w:t>93,2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3,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3,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6E1037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103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3C374F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</w:t>
      </w:r>
      <w:r w:rsidR="003C374F">
        <w:rPr>
          <w:rFonts w:ascii="Times New Roman" w:eastAsia="Calibri" w:hAnsi="Times New Roman" w:cs="Times New Roman"/>
          <w:sz w:val="24"/>
          <w:szCs w:val="24"/>
          <w:lang w:eastAsia="en-US"/>
        </w:rPr>
        <w:t>не запланированы.</w:t>
      </w:r>
    </w:p>
    <w:p w:rsidR="003C374F" w:rsidRDefault="00C82A35" w:rsidP="003C3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74F" w:rsidRPr="003C374F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не запланированы.</w:t>
      </w:r>
    </w:p>
    <w:p w:rsidR="00C82A35" w:rsidRPr="00281997" w:rsidRDefault="00C82A35" w:rsidP="003C3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D796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D796B">
        <w:rPr>
          <w:rFonts w:ascii="Times New Roman" w:eastAsia="Calibri" w:hAnsi="Times New Roman" w:cs="Times New Roman"/>
          <w:sz w:val="24"/>
          <w:szCs w:val="24"/>
          <w:lang w:eastAsia="en-US"/>
        </w:rPr>
        <w:t>95,1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</w:t>
      </w:r>
      <w:r w:rsidR="00265DFB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2950">
        <w:rPr>
          <w:rFonts w:ascii="Times New Roman" w:eastAsia="Calibri" w:hAnsi="Times New Roman" w:cs="Times New Roman"/>
          <w:sz w:val="24"/>
          <w:szCs w:val="24"/>
          <w:lang w:eastAsia="en-US"/>
        </w:rPr>
        <w:t>670,6</w:t>
      </w:r>
      <w:r w:rsidR="00265DF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7016F">
        <w:rPr>
          <w:rFonts w:ascii="Times New Roman" w:eastAsia="Calibri" w:hAnsi="Times New Roman" w:cs="Times New Roman"/>
          <w:sz w:val="24"/>
          <w:szCs w:val="24"/>
          <w:lang w:eastAsia="en-US"/>
        </w:rPr>
        <w:t>12,4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D796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D796B">
        <w:rPr>
          <w:rFonts w:ascii="Times New Roman" w:eastAsia="Calibri" w:hAnsi="Times New Roman" w:cs="Times New Roman"/>
          <w:sz w:val="24"/>
          <w:szCs w:val="24"/>
          <w:lang w:eastAsia="en-US"/>
        </w:rPr>
        <w:t>28,0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265DFB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F02950">
        <w:rPr>
          <w:rFonts w:ascii="Times New Roman" w:eastAsia="Calibri" w:hAnsi="Times New Roman" w:cs="Times New Roman"/>
          <w:sz w:val="24"/>
          <w:szCs w:val="24"/>
          <w:lang w:eastAsia="en-US"/>
        </w:rPr>
        <w:t>67,0)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7016F">
        <w:rPr>
          <w:rFonts w:ascii="Times New Roman" w:eastAsia="Calibri" w:hAnsi="Times New Roman" w:cs="Times New Roman"/>
          <w:sz w:val="24"/>
          <w:szCs w:val="24"/>
          <w:lang w:eastAsia="en-US"/>
        </w:rPr>
        <w:t>29,4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79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D796B">
        <w:rPr>
          <w:rFonts w:ascii="Times New Roman" w:eastAsia="Times New Roman" w:hAnsi="Times New Roman" w:cs="Times New Roman"/>
          <w:sz w:val="24"/>
          <w:szCs w:val="24"/>
        </w:rPr>
        <w:t>28,0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2950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7016F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9D796B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927B8" w:rsidRPr="003525FD" w:rsidRDefault="004927B8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Данные расходы запланированы по подразделу 05 0</w:t>
      </w:r>
      <w:r>
        <w:rPr>
          <w:rFonts w:ascii="Times New Roman" w:eastAsia="Times New Roman" w:hAnsi="Times New Roman" w:cs="Times New Roman"/>
          <w:sz w:val="24"/>
          <w:szCs w:val="24"/>
        </w:rPr>
        <w:t>1 «Жилищное хозяйство» - 25,0 тыс. рублей.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7B8">
        <w:rPr>
          <w:rFonts w:ascii="Times New Roman" w:eastAsia="Times New Roman" w:hAnsi="Times New Roman" w:cs="Times New Roman"/>
          <w:sz w:val="24"/>
          <w:szCs w:val="24"/>
        </w:rPr>
        <w:t>55,1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4927B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D0275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43D6C" w:rsidRDefault="00C82A35" w:rsidP="0074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D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0275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018A" w:rsidRDefault="00C82A35" w:rsidP="0074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Pr="0028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сельского поселения </w:t>
      </w:r>
      <w:r w:rsidR="00702F84"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702F84"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2A35" w:rsidRPr="008953E4" w:rsidRDefault="00C82A35" w:rsidP="00C82A3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28018A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35" w:rsidRDefault="00C82A35" w:rsidP="00C82A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2021-2022 годы утверждены, соответственно </w:t>
      </w:r>
      <w:r w:rsidR="0028018A">
        <w:rPr>
          <w:rFonts w:ascii="Times New Roman" w:eastAsia="Times New Roman" w:hAnsi="Times New Roman" w:cs="Times New Roman"/>
          <w:sz w:val="24"/>
          <w:szCs w:val="24"/>
        </w:rPr>
        <w:t>51,7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018A">
        <w:rPr>
          <w:rFonts w:ascii="Times New Roman" w:eastAsia="Times New Roman" w:hAnsi="Times New Roman" w:cs="Times New Roman"/>
          <w:sz w:val="24"/>
          <w:szCs w:val="24"/>
        </w:rPr>
        <w:t>101,1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</w:t>
      </w:r>
      <w:r w:rsidR="00670C1F">
        <w:rPr>
          <w:rFonts w:ascii="Times New Roman" w:eastAsia="Times New Roman" w:hAnsi="Times New Roman" w:cs="Times New Roman"/>
          <w:sz w:val="24"/>
          <w:szCs w:val="24"/>
        </w:rPr>
        <w:t xml:space="preserve">общей суммы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расходов. Ограничение ст. 184.1 Бюджетного кодекса РФ соблюдено.</w:t>
      </w: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F7686C" w:rsidRDefault="00F7686C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9D470C" w:rsidRPr="00681650" w:rsidRDefault="00AB1365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22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22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F22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81650" w:rsidRPr="00D52CA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</w:t>
      </w:r>
      <w:r w:rsidR="009D470C" w:rsidRPr="00D52CA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Проектом решения </w:t>
      </w:r>
      <w:r w:rsidR="00681650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утверждены источники внутреннего финансирования дефицита бюджета на </w:t>
      </w:r>
      <w:r w:rsidR="002C70B5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DF22E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C70B5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 плановый период </w:t>
      </w:r>
      <w:r w:rsidR="002C70B5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DF22EA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2C70B5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DF22EA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0B5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 w:rsidR="00681650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1521B" w:rsidRPr="00D52CA1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365" w:rsidRPr="003A6DD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68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</w:t>
      </w:r>
      <w:r w:rsidR="00C06B54" w:rsidRPr="00315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68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768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981B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F7686C">
        <w:rPr>
          <w:rFonts w:ascii="Times New Roman" w:eastAsia="Times New Roman" w:hAnsi="Times New Roman" w:cs="Times New Roman"/>
          <w:sz w:val="24"/>
          <w:szCs w:val="24"/>
        </w:rPr>
        <w:t>Кулажском</w:t>
      </w:r>
      <w:proofErr w:type="spellEnd"/>
      <w:r w:rsidR="00F7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программы разрабатываются в соответствии с Порядком, утвержденным 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12.11.2014 года №149 «Об утверждении порядка разработки, реализации и оценки эффективности муниципальных программ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(далее-Порядок).</w:t>
      </w:r>
    </w:p>
    <w:p w:rsidR="0031521B" w:rsidRPr="007F6806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В проект решения внесены 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>целевые программы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21B" w:rsidRPr="007F6806" w:rsidRDefault="00AB1365" w:rsidP="00F7686C">
      <w:pPr>
        <w:pStyle w:val="af3"/>
        <w:numPr>
          <w:ilvl w:val="0"/>
          <w:numId w:val="2"/>
        </w:numPr>
        <w:ind w:hanging="1587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 w:rsidR="002C0679">
        <w:rPr>
          <w:sz w:val="24"/>
          <w:szCs w:val="24"/>
        </w:rPr>
        <w:t>Кулажского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C81B4E">
        <w:rPr>
          <w:sz w:val="24"/>
          <w:szCs w:val="24"/>
        </w:rPr>
        <w:t>2</w:t>
      </w:r>
      <w:r w:rsidR="00F7686C">
        <w:rPr>
          <w:sz w:val="24"/>
          <w:szCs w:val="24"/>
        </w:rPr>
        <w:t>1</w:t>
      </w:r>
      <w:r w:rsidRPr="007F6806">
        <w:rPr>
          <w:sz w:val="24"/>
          <w:szCs w:val="24"/>
        </w:rPr>
        <w:t xml:space="preserve"> - </w:t>
      </w:r>
      <w:r w:rsidR="002C70B5">
        <w:rPr>
          <w:sz w:val="24"/>
          <w:szCs w:val="24"/>
        </w:rPr>
        <w:t>202</w:t>
      </w:r>
      <w:r w:rsidR="00F7686C">
        <w:rPr>
          <w:sz w:val="24"/>
          <w:szCs w:val="24"/>
        </w:rPr>
        <w:t>3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ы)»,</w:t>
      </w:r>
    </w:p>
    <w:p w:rsidR="0031521B" w:rsidRPr="007F6806" w:rsidRDefault="00AB1365" w:rsidP="00F7686C">
      <w:pPr>
        <w:pStyle w:val="af3"/>
        <w:numPr>
          <w:ilvl w:val="0"/>
          <w:numId w:val="2"/>
        </w:numPr>
        <w:ind w:hanging="1587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 w:rsidR="002C0679">
        <w:rPr>
          <w:sz w:val="24"/>
          <w:szCs w:val="24"/>
        </w:rPr>
        <w:t>Кулажского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C81B4E">
        <w:rPr>
          <w:sz w:val="24"/>
          <w:szCs w:val="24"/>
        </w:rPr>
        <w:t>2</w:t>
      </w:r>
      <w:r w:rsidR="00F7686C">
        <w:rPr>
          <w:sz w:val="24"/>
          <w:szCs w:val="24"/>
        </w:rPr>
        <w:t>1</w:t>
      </w:r>
      <w:r w:rsidRPr="007F6806">
        <w:rPr>
          <w:sz w:val="24"/>
          <w:szCs w:val="24"/>
        </w:rPr>
        <w:t xml:space="preserve"> - </w:t>
      </w:r>
      <w:r w:rsidR="002C70B5">
        <w:rPr>
          <w:sz w:val="24"/>
          <w:szCs w:val="24"/>
        </w:rPr>
        <w:t>202</w:t>
      </w:r>
      <w:r w:rsidR="00F7686C">
        <w:rPr>
          <w:sz w:val="24"/>
          <w:szCs w:val="24"/>
        </w:rPr>
        <w:t>3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</w:t>
      </w:r>
    </w:p>
    <w:p w:rsidR="00AB1365" w:rsidRPr="007F6806" w:rsidRDefault="00AB1365" w:rsidP="00F7686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>В соответствии с ч. 2 ст.179 Бюджетного кодекса РФ муниципальн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>, предлагаемые к финансированию начиная с очередного финансового года, утвержден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48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B6FA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A484C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8B6F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A484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B6FA6">
        <w:rPr>
          <w:rFonts w:ascii="Times New Roman" w:eastAsia="Times New Roman" w:hAnsi="Times New Roman" w:cs="Times New Roman"/>
          <w:sz w:val="24"/>
          <w:szCs w:val="24"/>
        </w:rPr>
        <w:t>57</w:t>
      </w:r>
      <w:r w:rsidR="00FA48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365" w:rsidRPr="00CA4B15" w:rsidRDefault="00AB1365" w:rsidP="00F7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15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AB1365" w:rsidRPr="0049613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>Кулажского</w:t>
      </w:r>
      <w:proofErr w:type="spellEnd"/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 </w:t>
      </w:r>
      <w:r w:rsidR="00AB32A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>района  Брянской области на 2021 год и на плановый период 2022 и 2023 годов»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  расходы на реализацию целевых программ 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B32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5B7EE7">
        <w:rPr>
          <w:rFonts w:ascii="Times New Roman" w:eastAsia="Times New Roman" w:hAnsi="Times New Roman" w:cs="Times New Roman"/>
          <w:sz w:val="24"/>
          <w:szCs w:val="24"/>
        </w:rPr>
        <w:t xml:space="preserve">составляют </w:t>
      </w:r>
      <w:r w:rsidR="005B7EE7" w:rsidRPr="005B7EE7">
        <w:rPr>
          <w:rFonts w:ascii="Times New Roman" w:eastAsia="Times New Roman" w:hAnsi="Times New Roman" w:cs="Times New Roman"/>
          <w:sz w:val="24"/>
          <w:szCs w:val="24"/>
        </w:rPr>
        <w:t>2203,1</w:t>
      </w:r>
      <w:r w:rsidRPr="005B7EE7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. рублей, что  соответствует </w:t>
      </w:r>
      <w:r w:rsidR="00981B8A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CF28F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516,0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658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933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213"/>
        <w:gridCol w:w="1339"/>
      </w:tblGrid>
      <w:tr w:rsidR="00AB1365" w:rsidRPr="00AB1365" w:rsidTr="007F1957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2C70B5" w:rsidP="00937CD9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5B7EE7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B7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B7EE7" w:rsidRPr="00AB1365" w:rsidTr="005B7EE7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8C65F2" w:rsidRDefault="005B7EE7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8C65F2" w:rsidRDefault="005B7EE7" w:rsidP="005B7E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A16627" w:rsidRDefault="005B7EE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A16627" w:rsidRDefault="005B7EE7" w:rsidP="000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5B7EE7" w:rsidRDefault="005B7EE7" w:rsidP="005B7E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-510,4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5B7EE7" w:rsidRDefault="005B7EE7" w:rsidP="005B7E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</w:tr>
      <w:tr w:rsidR="005B7EE7" w:rsidRPr="00AB1365" w:rsidTr="005B7EE7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8C65F2" w:rsidRDefault="005B7EE7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8C65F2" w:rsidRDefault="005B7EE7" w:rsidP="005B7E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A16627" w:rsidRDefault="005B7EE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A16627" w:rsidRDefault="005B7EE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5B7EE7" w:rsidRDefault="005B7EE7" w:rsidP="005B7E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5B7EE7" w:rsidRDefault="005B7EE7" w:rsidP="005B7E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5B7EE7" w:rsidRPr="00AB1365" w:rsidTr="005B7EE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E7" w:rsidRPr="00AB1365" w:rsidRDefault="005B7EE7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E7" w:rsidRPr="00AB1365" w:rsidRDefault="005B7EE7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A16627" w:rsidRDefault="005B7EE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A16627" w:rsidRDefault="005B7EE7" w:rsidP="000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5B7EE7" w:rsidRDefault="005B7EE7" w:rsidP="005B7E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E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-516,0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E7" w:rsidRPr="005B7EE7" w:rsidRDefault="005B7EE7" w:rsidP="005B7E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E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81,0</w:t>
            </w:r>
          </w:p>
        </w:tc>
      </w:tr>
    </w:tbl>
    <w:p w:rsidR="00D22774" w:rsidRPr="00D77815" w:rsidRDefault="00D22774" w:rsidP="00D2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A200B" w:rsidRDefault="00752B63" w:rsidP="005B7E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1A200B">
        <w:rPr>
          <w:rFonts w:ascii="Times New Roman" w:eastAsia="Times New Roman" w:hAnsi="Times New Roman" w:cs="Times New Roman"/>
          <w:sz w:val="24"/>
          <w:szCs w:val="24"/>
        </w:rPr>
        <w:t xml:space="preserve"> тыс. 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0,3%,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5B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A20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D9" w:rsidRDefault="001A200B" w:rsidP="003E1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резервный фонд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ежегодно;</w:t>
      </w:r>
    </w:p>
    <w:p w:rsidR="001A200B" w:rsidRDefault="001A200B" w:rsidP="003E1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расходы в соответствии с Соглашением по переданным полномочиям внешнего финансового контроля 0,5 тыс. рублей ежегодно.</w:t>
      </w:r>
    </w:p>
    <w:p w:rsidR="00F37730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F4342C" w:rsidRDefault="00F4342C" w:rsidP="00F43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</w:p>
    <w:p w:rsidR="00F4342C" w:rsidRPr="008120A1" w:rsidRDefault="00F4342C" w:rsidP="00F4342C">
      <w:pPr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  <w:r w:rsidRPr="00F4342C">
        <w:rPr>
          <w:rFonts w:ascii="Times New Roman" w:hAnsi="Times New Roman"/>
          <w:b/>
          <w:i/>
          <w:sz w:val="24"/>
          <w:szCs w:val="24"/>
        </w:rPr>
        <w:t xml:space="preserve">В нарушение п.3 ст. 173 Бюджетного кодекса Российской Федерации отсутствует правовой акт об одобрении прогноза социально-экономического развития </w:t>
      </w:r>
      <w:proofErr w:type="spellStart"/>
      <w:r w:rsidRPr="00F4342C">
        <w:rPr>
          <w:rFonts w:ascii="Times New Roman" w:hAnsi="Times New Roman"/>
          <w:b/>
          <w:i/>
          <w:sz w:val="24"/>
          <w:szCs w:val="24"/>
        </w:rPr>
        <w:t>Кулажского</w:t>
      </w:r>
      <w:proofErr w:type="spellEnd"/>
      <w:r w:rsidRPr="00F4342C"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  <w:r w:rsidRPr="008120A1">
        <w:rPr>
          <w:rFonts w:ascii="Times New Roman" w:hAnsi="Times New Roman"/>
          <w:b/>
          <w:i/>
        </w:rPr>
        <w:t>.</w:t>
      </w:r>
    </w:p>
    <w:p w:rsidR="00E85050" w:rsidRPr="001736AC" w:rsidRDefault="00E85050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1 ст. 185 Бюджетного кодекса РФ Проект решения </w:t>
      </w:r>
      <w:proofErr w:type="spellStart"/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 внесен в Контрольно-счётную палату Суражского муниципального района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года, т. е.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17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дней позже установленного срока.</w:t>
      </w:r>
    </w:p>
    <w:p w:rsidR="00A97F2A" w:rsidRDefault="00A97F2A" w:rsidP="00E85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одновременно с Проектом удовлетворяют требования ст.</w:t>
      </w:r>
      <w:r w:rsidR="00E85050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050" w:rsidRPr="00766982" w:rsidRDefault="00E85050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050" w:rsidRPr="00766982" w:rsidRDefault="00E85050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85050" w:rsidRPr="00766982" w:rsidRDefault="00E85050" w:rsidP="00E8505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E85050" w:rsidRPr="00811170" w:rsidRDefault="00E85050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1170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184.1 БК соблюдена не в полной мере, проектом Решения не утверждены:</w:t>
      </w:r>
    </w:p>
    <w:p w:rsidR="00E85050" w:rsidRDefault="00E85050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проектом решения не утверждены Источники финансирования дефицита бюджета поселения.</w:t>
      </w:r>
    </w:p>
    <w:p w:rsidR="00E85050" w:rsidRDefault="00E85050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ст. 184.1 БК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утвержден объем межбюджетных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трансфертов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передаваемых поселением в объеме 0,5 тыс. рублей ежегодно.</w:t>
      </w:r>
    </w:p>
    <w:p w:rsidR="00A97F2A" w:rsidRPr="00766982" w:rsidRDefault="00A97F2A" w:rsidP="00A97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2022 и 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10520A" w:rsidRPr="004E2A6E" w:rsidRDefault="0010520A" w:rsidP="0010520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10520A" w:rsidRPr="00766982" w:rsidRDefault="0010520A" w:rsidP="00105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2119,8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>400,1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4"/>
          <w:szCs w:val="24"/>
        </w:rPr>
        <w:t>15,9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0520A" w:rsidRPr="00766982" w:rsidRDefault="0010520A" w:rsidP="00105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2119,8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4"/>
          <w:szCs w:val="24"/>
        </w:rPr>
        <w:t>599,3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22,0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D22774" w:rsidRDefault="00D22774" w:rsidP="00D227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Условно утверждаемые расходы на плановый период 2021-2022 годы утверждены, соответственно 51,7 и 101,1 тыс. рублей, что составляет 2,5 и 5,0%% от общей суммы  расходов. Ограничение ст. 184.1 Бюджетного кодекса РФ соблюдено.</w:t>
      </w:r>
    </w:p>
    <w:p w:rsidR="00D22774" w:rsidRPr="00681650" w:rsidRDefault="00D22774" w:rsidP="00D2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2022 и 2023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 (приложение №3).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Проектом решения не утверждены источники внутреннего финансирования дефицита бюджета на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годов.</w:t>
      </w:r>
    </w:p>
    <w:p w:rsidR="00D22774" w:rsidRDefault="00D22774" w:rsidP="00D2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190541" w:rsidRPr="007F6806" w:rsidRDefault="00190541" w:rsidP="0019054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начиная с очередного финансового года, утверждены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12.11.2020 года № 57.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541" w:rsidRPr="00CA4B15" w:rsidRDefault="00190541" w:rsidP="00190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15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190541" w:rsidRPr="00496130" w:rsidRDefault="00190541" w:rsidP="0019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>Кулажского</w:t>
      </w:r>
      <w:proofErr w:type="spellEnd"/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>района  Брянской области на 2021 год и на плановый период 2022 и 2023 годов»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  расходы на реализацию целевых программ  в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5B7EE7">
        <w:rPr>
          <w:rFonts w:ascii="Times New Roman" w:eastAsia="Times New Roman" w:hAnsi="Times New Roman" w:cs="Times New Roman"/>
          <w:sz w:val="24"/>
          <w:szCs w:val="24"/>
        </w:rPr>
        <w:t>составляют 2203,1 тыс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. рублей, что 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99,1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>516,0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190541" w:rsidRPr="00D77815" w:rsidRDefault="00190541" w:rsidP="0019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90541" w:rsidRDefault="00190541" w:rsidP="00190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5,5 тыс.  рублей, или 0,3% в общей сумме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13298C" w:rsidRPr="0013298C" w:rsidRDefault="0013298C" w:rsidP="00132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Привести проект Решения «О бюджете </w:t>
      </w:r>
      <w:r w:rsidR="00EF005B">
        <w:rPr>
          <w:rFonts w:ascii="Times New Roman" w:eastAsia="Times New Roman" w:hAnsi="Times New Roman" w:cs="Times New Roman"/>
          <w:sz w:val="24"/>
          <w:szCs w:val="24"/>
        </w:rPr>
        <w:t>Кулажскому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области» на 2021 год и на плановый период 2022 и 2023 годов» в соответствии со ст. 184.1 Бюджетного кодекса  РФ в части утверждения в решении необходимых характеристик бюджета.</w:t>
      </w:r>
    </w:p>
    <w:p w:rsidR="00AB1365" w:rsidRPr="005E4A79" w:rsidRDefault="0013298C" w:rsidP="00132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741A15">
        <w:rPr>
          <w:rFonts w:ascii="Times New Roman" w:eastAsia="Times New Roman" w:hAnsi="Times New Roman" w:cs="Times New Roman"/>
          <w:sz w:val="24"/>
          <w:szCs w:val="24"/>
        </w:rPr>
        <w:t>Кулажскому</w:t>
      </w:r>
      <w:proofErr w:type="spellEnd"/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народных  депутатов проект решения «О бюджете </w:t>
      </w:r>
      <w:proofErr w:type="spellStart"/>
      <w:r w:rsidR="00741A15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741A15" w:rsidRPr="0013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>сельского поселения Суражского муниципального района Брянской области» на 2021 год и на плановый период 2022 и 2023 годов» к рассмотрению после приведения его в соответствие с указанными в Заключении замечаниями.</w:t>
      </w:r>
      <w:r w:rsidR="00AB1365"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021F" w:rsidRDefault="000D021F" w:rsidP="000D021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021F" w:rsidRPr="005E4A79" w:rsidRDefault="000D021F" w:rsidP="00D414E7">
      <w:pPr>
        <w:spacing w:after="0" w:line="240" w:lineRule="auto"/>
        <w:jc w:val="both"/>
        <w:rPr>
          <w:sz w:val="24"/>
          <w:szCs w:val="24"/>
        </w:rPr>
      </w:pPr>
    </w:p>
    <w:sectPr w:rsidR="000D021F" w:rsidRPr="005E4A79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21626"/>
    <w:rsid w:val="00031527"/>
    <w:rsid w:val="000324AB"/>
    <w:rsid w:val="00034919"/>
    <w:rsid w:val="00037753"/>
    <w:rsid w:val="00037F78"/>
    <w:rsid w:val="00041731"/>
    <w:rsid w:val="00042F25"/>
    <w:rsid w:val="00044366"/>
    <w:rsid w:val="00044819"/>
    <w:rsid w:val="00051F82"/>
    <w:rsid w:val="000554D4"/>
    <w:rsid w:val="0005622A"/>
    <w:rsid w:val="00057801"/>
    <w:rsid w:val="0006393A"/>
    <w:rsid w:val="0006468E"/>
    <w:rsid w:val="000650CA"/>
    <w:rsid w:val="0007016F"/>
    <w:rsid w:val="00073CFD"/>
    <w:rsid w:val="0007473A"/>
    <w:rsid w:val="00075159"/>
    <w:rsid w:val="0008329A"/>
    <w:rsid w:val="00087AC7"/>
    <w:rsid w:val="000A374A"/>
    <w:rsid w:val="000A5833"/>
    <w:rsid w:val="000B1326"/>
    <w:rsid w:val="000B1907"/>
    <w:rsid w:val="000D021F"/>
    <w:rsid w:val="000D138E"/>
    <w:rsid w:val="000E3844"/>
    <w:rsid w:val="000E7F7B"/>
    <w:rsid w:val="000F4ACA"/>
    <w:rsid w:val="000F7A0F"/>
    <w:rsid w:val="001007BB"/>
    <w:rsid w:val="00103C9F"/>
    <w:rsid w:val="0010520A"/>
    <w:rsid w:val="00105B3F"/>
    <w:rsid w:val="00111F17"/>
    <w:rsid w:val="00113913"/>
    <w:rsid w:val="00115A4C"/>
    <w:rsid w:val="0013298C"/>
    <w:rsid w:val="00134F3C"/>
    <w:rsid w:val="0014077D"/>
    <w:rsid w:val="0014249A"/>
    <w:rsid w:val="001430F8"/>
    <w:rsid w:val="0014579D"/>
    <w:rsid w:val="001501AD"/>
    <w:rsid w:val="00161A80"/>
    <w:rsid w:val="00161D4D"/>
    <w:rsid w:val="00166E59"/>
    <w:rsid w:val="001736AC"/>
    <w:rsid w:val="00176D1D"/>
    <w:rsid w:val="00186C4E"/>
    <w:rsid w:val="0018707B"/>
    <w:rsid w:val="00190541"/>
    <w:rsid w:val="00194ADD"/>
    <w:rsid w:val="001A200B"/>
    <w:rsid w:val="001B1F72"/>
    <w:rsid w:val="001C5F0C"/>
    <w:rsid w:val="001D6E3A"/>
    <w:rsid w:val="001E1022"/>
    <w:rsid w:val="001E2A8E"/>
    <w:rsid w:val="001F3EFF"/>
    <w:rsid w:val="001F5EDA"/>
    <w:rsid w:val="002018AE"/>
    <w:rsid w:val="0020221B"/>
    <w:rsid w:val="00203290"/>
    <w:rsid w:val="002078DF"/>
    <w:rsid w:val="0021729F"/>
    <w:rsid w:val="00223D44"/>
    <w:rsid w:val="00224BD3"/>
    <w:rsid w:val="00225110"/>
    <w:rsid w:val="00225BF2"/>
    <w:rsid w:val="00230477"/>
    <w:rsid w:val="00236004"/>
    <w:rsid w:val="00237296"/>
    <w:rsid w:val="00237644"/>
    <w:rsid w:val="00255219"/>
    <w:rsid w:val="00265DFB"/>
    <w:rsid w:val="0026794E"/>
    <w:rsid w:val="0027470D"/>
    <w:rsid w:val="0028018A"/>
    <w:rsid w:val="00281068"/>
    <w:rsid w:val="0028303B"/>
    <w:rsid w:val="002860C0"/>
    <w:rsid w:val="00287505"/>
    <w:rsid w:val="002A0603"/>
    <w:rsid w:val="002A06CB"/>
    <w:rsid w:val="002A0E31"/>
    <w:rsid w:val="002B3993"/>
    <w:rsid w:val="002B7C0A"/>
    <w:rsid w:val="002C0679"/>
    <w:rsid w:val="002C6524"/>
    <w:rsid w:val="002C70B5"/>
    <w:rsid w:val="002D4B4C"/>
    <w:rsid w:val="002D6C20"/>
    <w:rsid w:val="002E50D9"/>
    <w:rsid w:val="002F6270"/>
    <w:rsid w:val="002F630E"/>
    <w:rsid w:val="00302599"/>
    <w:rsid w:val="003055E9"/>
    <w:rsid w:val="00306A0D"/>
    <w:rsid w:val="0030744F"/>
    <w:rsid w:val="0031521B"/>
    <w:rsid w:val="00315E15"/>
    <w:rsid w:val="00330E11"/>
    <w:rsid w:val="00343D38"/>
    <w:rsid w:val="003507DC"/>
    <w:rsid w:val="0035693F"/>
    <w:rsid w:val="003658EC"/>
    <w:rsid w:val="003669C5"/>
    <w:rsid w:val="00366D14"/>
    <w:rsid w:val="0037360D"/>
    <w:rsid w:val="00374F5D"/>
    <w:rsid w:val="0037560F"/>
    <w:rsid w:val="0038043E"/>
    <w:rsid w:val="00382894"/>
    <w:rsid w:val="00382CE8"/>
    <w:rsid w:val="00386510"/>
    <w:rsid w:val="00387711"/>
    <w:rsid w:val="00391F07"/>
    <w:rsid w:val="003923E6"/>
    <w:rsid w:val="00393991"/>
    <w:rsid w:val="003A260C"/>
    <w:rsid w:val="003A4770"/>
    <w:rsid w:val="003A5ACA"/>
    <w:rsid w:val="003A6DD1"/>
    <w:rsid w:val="003A74A9"/>
    <w:rsid w:val="003B3B79"/>
    <w:rsid w:val="003C374F"/>
    <w:rsid w:val="003C4568"/>
    <w:rsid w:val="003E111E"/>
    <w:rsid w:val="003E4A0C"/>
    <w:rsid w:val="003F1886"/>
    <w:rsid w:val="003F2812"/>
    <w:rsid w:val="003F5429"/>
    <w:rsid w:val="004032AF"/>
    <w:rsid w:val="00403DED"/>
    <w:rsid w:val="00422C10"/>
    <w:rsid w:val="00426560"/>
    <w:rsid w:val="004318FD"/>
    <w:rsid w:val="0043521B"/>
    <w:rsid w:val="00440D75"/>
    <w:rsid w:val="00441FFE"/>
    <w:rsid w:val="00445807"/>
    <w:rsid w:val="00465533"/>
    <w:rsid w:val="00473670"/>
    <w:rsid w:val="00475193"/>
    <w:rsid w:val="00475786"/>
    <w:rsid w:val="00475FD9"/>
    <w:rsid w:val="0047713C"/>
    <w:rsid w:val="0047737E"/>
    <w:rsid w:val="00481040"/>
    <w:rsid w:val="004927B8"/>
    <w:rsid w:val="00496130"/>
    <w:rsid w:val="00497964"/>
    <w:rsid w:val="004C00A6"/>
    <w:rsid w:val="004C7234"/>
    <w:rsid w:val="004E2A6E"/>
    <w:rsid w:val="004E313C"/>
    <w:rsid w:val="004F18A4"/>
    <w:rsid w:val="004F2AC8"/>
    <w:rsid w:val="004F6AD6"/>
    <w:rsid w:val="005101E9"/>
    <w:rsid w:val="00515AB9"/>
    <w:rsid w:val="005302CA"/>
    <w:rsid w:val="00535400"/>
    <w:rsid w:val="00542AEC"/>
    <w:rsid w:val="00544A79"/>
    <w:rsid w:val="00546D83"/>
    <w:rsid w:val="00550E30"/>
    <w:rsid w:val="0055526C"/>
    <w:rsid w:val="005555D3"/>
    <w:rsid w:val="00561B1A"/>
    <w:rsid w:val="00562BD6"/>
    <w:rsid w:val="00563365"/>
    <w:rsid w:val="00565991"/>
    <w:rsid w:val="0057019D"/>
    <w:rsid w:val="00571756"/>
    <w:rsid w:val="005737B6"/>
    <w:rsid w:val="00586C2A"/>
    <w:rsid w:val="00592294"/>
    <w:rsid w:val="005A0E97"/>
    <w:rsid w:val="005A6E01"/>
    <w:rsid w:val="005B0873"/>
    <w:rsid w:val="005B35C1"/>
    <w:rsid w:val="005B7EE7"/>
    <w:rsid w:val="005C4A38"/>
    <w:rsid w:val="005C7EB0"/>
    <w:rsid w:val="005D40F3"/>
    <w:rsid w:val="005D4A8F"/>
    <w:rsid w:val="005D6393"/>
    <w:rsid w:val="005E0175"/>
    <w:rsid w:val="005E1A5C"/>
    <w:rsid w:val="005E276D"/>
    <w:rsid w:val="005E459B"/>
    <w:rsid w:val="005E4A79"/>
    <w:rsid w:val="005E64A9"/>
    <w:rsid w:val="005F1FAE"/>
    <w:rsid w:val="005F251C"/>
    <w:rsid w:val="005F6688"/>
    <w:rsid w:val="006036C0"/>
    <w:rsid w:val="00603B52"/>
    <w:rsid w:val="00613E04"/>
    <w:rsid w:val="00626315"/>
    <w:rsid w:val="006264AE"/>
    <w:rsid w:val="00636416"/>
    <w:rsid w:val="00640CAF"/>
    <w:rsid w:val="00642961"/>
    <w:rsid w:val="00644DAB"/>
    <w:rsid w:val="0064608C"/>
    <w:rsid w:val="00646F7A"/>
    <w:rsid w:val="00666689"/>
    <w:rsid w:val="00670BFB"/>
    <w:rsid w:val="00670C1F"/>
    <w:rsid w:val="00681650"/>
    <w:rsid w:val="00685207"/>
    <w:rsid w:val="00693933"/>
    <w:rsid w:val="00695EEC"/>
    <w:rsid w:val="006A0B45"/>
    <w:rsid w:val="006A165A"/>
    <w:rsid w:val="006A25FA"/>
    <w:rsid w:val="006A562D"/>
    <w:rsid w:val="006B2708"/>
    <w:rsid w:val="006B2D55"/>
    <w:rsid w:val="006C0829"/>
    <w:rsid w:val="006C12F9"/>
    <w:rsid w:val="006C2EA3"/>
    <w:rsid w:val="006C3C3B"/>
    <w:rsid w:val="006C4248"/>
    <w:rsid w:val="006D1FA6"/>
    <w:rsid w:val="006D2DAF"/>
    <w:rsid w:val="006D2E08"/>
    <w:rsid w:val="006D372F"/>
    <w:rsid w:val="006D6E32"/>
    <w:rsid w:val="006E1037"/>
    <w:rsid w:val="006E1312"/>
    <w:rsid w:val="006E1A72"/>
    <w:rsid w:val="006E2B0E"/>
    <w:rsid w:val="006E52C9"/>
    <w:rsid w:val="006F0457"/>
    <w:rsid w:val="006F0BDB"/>
    <w:rsid w:val="00700128"/>
    <w:rsid w:val="00702F84"/>
    <w:rsid w:val="007156FF"/>
    <w:rsid w:val="0073387D"/>
    <w:rsid w:val="00734EA0"/>
    <w:rsid w:val="007379BD"/>
    <w:rsid w:val="00740AF5"/>
    <w:rsid w:val="00741A15"/>
    <w:rsid w:val="00743D6C"/>
    <w:rsid w:val="0074640F"/>
    <w:rsid w:val="00752756"/>
    <w:rsid w:val="00752B63"/>
    <w:rsid w:val="00755692"/>
    <w:rsid w:val="00755C78"/>
    <w:rsid w:val="00766982"/>
    <w:rsid w:val="00767450"/>
    <w:rsid w:val="007834E4"/>
    <w:rsid w:val="007859E9"/>
    <w:rsid w:val="00792549"/>
    <w:rsid w:val="007928F2"/>
    <w:rsid w:val="00793D68"/>
    <w:rsid w:val="00795070"/>
    <w:rsid w:val="007A2D57"/>
    <w:rsid w:val="007A5335"/>
    <w:rsid w:val="007A6E88"/>
    <w:rsid w:val="007A7F4F"/>
    <w:rsid w:val="007C3F84"/>
    <w:rsid w:val="007D1272"/>
    <w:rsid w:val="007E32ED"/>
    <w:rsid w:val="007E7177"/>
    <w:rsid w:val="007F03BB"/>
    <w:rsid w:val="007F1957"/>
    <w:rsid w:val="007F6806"/>
    <w:rsid w:val="007F6AF9"/>
    <w:rsid w:val="00802862"/>
    <w:rsid w:val="00802ACB"/>
    <w:rsid w:val="00811170"/>
    <w:rsid w:val="008120A1"/>
    <w:rsid w:val="008137C0"/>
    <w:rsid w:val="00820F11"/>
    <w:rsid w:val="0083044F"/>
    <w:rsid w:val="008363ED"/>
    <w:rsid w:val="00840200"/>
    <w:rsid w:val="0084106A"/>
    <w:rsid w:val="008425EC"/>
    <w:rsid w:val="00844D63"/>
    <w:rsid w:val="008509BE"/>
    <w:rsid w:val="00850FDC"/>
    <w:rsid w:val="00882D9E"/>
    <w:rsid w:val="00885E34"/>
    <w:rsid w:val="00886078"/>
    <w:rsid w:val="00890124"/>
    <w:rsid w:val="00891EAD"/>
    <w:rsid w:val="0089405B"/>
    <w:rsid w:val="008A159A"/>
    <w:rsid w:val="008A246A"/>
    <w:rsid w:val="008A35E3"/>
    <w:rsid w:val="008B4AB6"/>
    <w:rsid w:val="008B6FA6"/>
    <w:rsid w:val="008C4F7A"/>
    <w:rsid w:val="008C65F2"/>
    <w:rsid w:val="008E0887"/>
    <w:rsid w:val="008E0B4A"/>
    <w:rsid w:val="008E2FF3"/>
    <w:rsid w:val="008F1BCE"/>
    <w:rsid w:val="008F290D"/>
    <w:rsid w:val="009003AE"/>
    <w:rsid w:val="00900FF4"/>
    <w:rsid w:val="009010D7"/>
    <w:rsid w:val="00901C11"/>
    <w:rsid w:val="00901D20"/>
    <w:rsid w:val="00903AC0"/>
    <w:rsid w:val="00904CCD"/>
    <w:rsid w:val="00913D8C"/>
    <w:rsid w:val="009173AB"/>
    <w:rsid w:val="00917788"/>
    <w:rsid w:val="00937CD9"/>
    <w:rsid w:val="00940E5C"/>
    <w:rsid w:val="00950AD3"/>
    <w:rsid w:val="0095729C"/>
    <w:rsid w:val="00972F50"/>
    <w:rsid w:val="00973A7B"/>
    <w:rsid w:val="00981B8A"/>
    <w:rsid w:val="00983D67"/>
    <w:rsid w:val="009848D0"/>
    <w:rsid w:val="00995F9F"/>
    <w:rsid w:val="009A4237"/>
    <w:rsid w:val="009A7035"/>
    <w:rsid w:val="009B35AE"/>
    <w:rsid w:val="009C2BD6"/>
    <w:rsid w:val="009C3D2B"/>
    <w:rsid w:val="009C5D36"/>
    <w:rsid w:val="009D14AA"/>
    <w:rsid w:val="009D45B2"/>
    <w:rsid w:val="009D470C"/>
    <w:rsid w:val="009D546A"/>
    <w:rsid w:val="009D574B"/>
    <w:rsid w:val="009D796B"/>
    <w:rsid w:val="009D7E60"/>
    <w:rsid w:val="009E3364"/>
    <w:rsid w:val="009E6665"/>
    <w:rsid w:val="009F04A8"/>
    <w:rsid w:val="009F07E4"/>
    <w:rsid w:val="009F2933"/>
    <w:rsid w:val="009F5320"/>
    <w:rsid w:val="00A01073"/>
    <w:rsid w:val="00A05B69"/>
    <w:rsid w:val="00A16627"/>
    <w:rsid w:val="00A169FD"/>
    <w:rsid w:val="00A216D2"/>
    <w:rsid w:val="00A24CF9"/>
    <w:rsid w:val="00A260DD"/>
    <w:rsid w:val="00A26244"/>
    <w:rsid w:val="00A34C4A"/>
    <w:rsid w:val="00A3573F"/>
    <w:rsid w:val="00A37CDB"/>
    <w:rsid w:val="00A410C3"/>
    <w:rsid w:val="00A41F03"/>
    <w:rsid w:val="00A478D9"/>
    <w:rsid w:val="00A54B3C"/>
    <w:rsid w:val="00A57AD6"/>
    <w:rsid w:val="00A65089"/>
    <w:rsid w:val="00A6664A"/>
    <w:rsid w:val="00A66C38"/>
    <w:rsid w:val="00A674A1"/>
    <w:rsid w:val="00A7112E"/>
    <w:rsid w:val="00A75A95"/>
    <w:rsid w:val="00A852EA"/>
    <w:rsid w:val="00A92469"/>
    <w:rsid w:val="00A96360"/>
    <w:rsid w:val="00A97F2A"/>
    <w:rsid w:val="00AA2FF3"/>
    <w:rsid w:val="00AA7AF0"/>
    <w:rsid w:val="00AB1365"/>
    <w:rsid w:val="00AB16A3"/>
    <w:rsid w:val="00AB32A0"/>
    <w:rsid w:val="00AB5698"/>
    <w:rsid w:val="00AB7A4D"/>
    <w:rsid w:val="00AC081A"/>
    <w:rsid w:val="00AC428C"/>
    <w:rsid w:val="00AD5C95"/>
    <w:rsid w:val="00AD75A0"/>
    <w:rsid w:val="00AE7406"/>
    <w:rsid w:val="00B00A35"/>
    <w:rsid w:val="00B2507F"/>
    <w:rsid w:val="00B27CA9"/>
    <w:rsid w:val="00B300EF"/>
    <w:rsid w:val="00B326CC"/>
    <w:rsid w:val="00B37064"/>
    <w:rsid w:val="00B4003B"/>
    <w:rsid w:val="00B4680F"/>
    <w:rsid w:val="00B6252A"/>
    <w:rsid w:val="00B6665C"/>
    <w:rsid w:val="00B765D8"/>
    <w:rsid w:val="00B77A48"/>
    <w:rsid w:val="00B8072F"/>
    <w:rsid w:val="00B85307"/>
    <w:rsid w:val="00B8612E"/>
    <w:rsid w:val="00B91C1C"/>
    <w:rsid w:val="00B93D30"/>
    <w:rsid w:val="00B944D7"/>
    <w:rsid w:val="00BB405B"/>
    <w:rsid w:val="00BB7D6E"/>
    <w:rsid w:val="00BC04E1"/>
    <w:rsid w:val="00BD2AE5"/>
    <w:rsid w:val="00BD4BC4"/>
    <w:rsid w:val="00BE226C"/>
    <w:rsid w:val="00BE6D38"/>
    <w:rsid w:val="00BF1B6E"/>
    <w:rsid w:val="00BF2DA9"/>
    <w:rsid w:val="00BF72B3"/>
    <w:rsid w:val="00C00B1B"/>
    <w:rsid w:val="00C05A21"/>
    <w:rsid w:val="00C06B54"/>
    <w:rsid w:val="00C06BFF"/>
    <w:rsid w:val="00C13C13"/>
    <w:rsid w:val="00C14A3E"/>
    <w:rsid w:val="00C238C0"/>
    <w:rsid w:val="00C24000"/>
    <w:rsid w:val="00C26C4E"/>
    <w:rsid w:val="00C2732E"/>
    <w:rsid w:val="00C32987"/>
    <w:rsid w:val="00C32E16"/>
    <w:rsid w:val="00C3690E"/>
    <w:rsid w:val="00C430B8"/>
    <w:rsid w:val="00C46043"/>
    <w:rsid w:val="00C5107B"/>
    <w:rsid w:val="00C5552A"/>
    <w:rsid w:val="00C56F68"/>
    <w:rsid w:val="00C67B02"/>
    <w:rsid w:val="00C67CB8"/>
    <w:rsid w:val="00C7101E"/>
    <w:rsid w:val="00C7558D"/>
    <w:rsid w:val="00C81B4E"/>
    <w:rsid w:val="00C81E4C"/>
    <w:rsid w:val="00C82A35"/>
    <w:rsid w:val="00C834E2"/>
    <w:rsid w:val="00C83A14"/>
    <w:rsid w:val="00C94C5F"/>
    <w:rsid w:val="00C95F09"/>
    <w:rsid w:val="00C977C9"/>
    <w:rsid w:val="00CA4B15"/>
    <w:rsid w:val="00CA4E98"/>
    <w:rsid w:val="00CB0A02"/>
    <w:rsid w:val="00CC0AA7"/>
    <w:rsid w:val="00CC37B4"/>
    <w:rsid w:val="00CC46BC"/>
    <w:rsid w:val="00CC5339"/>
    <w:rsid w:val="00CC686C"/>
    <w:rsid w:val="00CD26D4"/>
    <w:rsid w:val="00CD2EB1"/>
    <w:rsid w:val="00CE3B8B"/>
    <w:rsid w:val="00CE55BD"/>
    <w:rsid w:val="00CF23D7"/>
    <w:rsid w:val="00CF28FC"/>
    <w:rsid w:val="00CF6FB6"/>
    <w:rsid w:val="00D01767"/>
    <w:rsid w:val="00D06838"/>
    <w:rsid w:val="00D11C4C"/>
    <w:rsid w:val="00D13C12"/>
    <w:rsid w:val="00D16007"/>
    <w:rsid w:val="00D22774"/>
    <w:rsid w:val="00D32376"/>
    <w:rsid w:val="00D32DE4"/>
    <w:rsid w:val="00D414E7"/>
    <w:rsid w:val="00D4488B"/>
    <w:rsid w:val="00D45A52"/>
    <w:rsid w:val="00D5124A"/>
    <w:rsid w:val="00D521FD"/>
    <w:rsid w:val="00D5248E"/>
    <w:rsid w:val="00D52CA1"/>
    <w:rsid w:val="00D54C12"/>
    <w:rsid w:val="00D60C33"/>
    <w:rsid w:val="00D61519"/>
    <w:rsid w:val="00D66B49"/>
    <w:rsid w:val="00D67F42"/>
    <w:rsid w:val="00D702F5"/>
    <w:rsid w:val="00D70840"/>
    <w:rsid w:val="00D71D17"/>
    <w:rsid w:val="00D75CDC"/>
    <w:rsid w:val="00D83118"/>
    <w:rsid w:val="00DA1CFC"/>
    <w:rsid w:val="00DA2047"/>
    <w:rsid w:val="00DA249A"/>
    <w:rsid w:val="00DA255C"/>
    <w:rsid w:val="00DA43EC"/>
    <w:rsid w:val="00DB0359"/>
    <w:rsid w:val="00DB1C4A"/>
    <w:rsid w:val="00DB72BC"/>
    <w:rsid w:val="00DC2B0F"/>
    <w:rsid w:val="00DD1316"/>
    <w:rsid w:val="00DD1C2A"/>
    <w:rsid w:val="00DD5CA7"/>
    <w:rsid w:val="00DE40D6"/>
    <w:rsid w:val="00DF07A7"/>
    <w:rsid w:val="00DF22EA"/>
    <w:rsid w:val="00DF2BE0"/>
    <w:rsid w:val="00DF54DA"/>
    <w:rsid w:val="00E030DF"/>
    <w:rsid w:val="00E0569A"/>
    <w:rsid w:val="00E11E02"/>
    <w:rsid w:val="00E1220B"/>
    <w:rsid w:val="00E225B1"/>
    <w:rsid w:val="00E23B67"/>
    <w:rsid w:val="00E2599F"/>
    <w:rsid w:val="00E3295D"/>
    <w:rsid w:val="00E34C11"/>
    <w:rsid w:val="00E46501"/>
    <w:rsid w:val="00E56FD3"/>
    <w:rsid w:val="00E710B5"/>
    <w:rsid w:val="00E75A7C"/>
    <w:rsid w:val="00E81510"/>
    <w:rsid w:val="00E825FC"/>
    <w:rsid w:val="00E82A1B"/>
    <w:rsid w:val="00E82DD0"/>
    <w:rsid w:val="00E85050"/>
    <w:rsid w:val="00E85F46"/>
    <w:rsid w:val="00E87844"/>
    <w:rsid w:val="00E91E56"/>
    <w:rsid w:val="00E9607E"/>
    <w:rsid w:val="00E97392"/>
    <w:rsid w:val="00EA1185"/>
    <w:rsid w:val="00EA758B"/>
    <w:rsid w:val="00EB0386"/>
    <w:rsid w:val="00EB1AD6"/>
    <w:rsid w:val="00EC0079"/>
    <w:rsid w:val="00EC008B"/>
    <w:rsid w:val="00EC1916"/>
    <w:rsid w:val="00ED10D2"/>
    <w:rsid w:val="00ED3016"/>
    <w:rsid w:val="00ED6A63"/>
    <w:rsid w:val="00EE7FFB"/>
    <w:rsid w:val="00EF005B"/>
    <w:rsid w:val="00EF2076"/>
    <w:rsid w:val="00EF47BC"/>
    <w:rsid w:val="00EF786B"/>
    <w:rsid w:val="00EF7DB5"/>
    <w:rsid w:val="00F02950"/>
    <w:rsid w:val="00F23E19"/>
    <w:rsid w:val="00F32E1F"/>
    <w:rsid w:val="00F37730"/>
    <w:rsid w:val="00F4342C"/>
    <w:rsid w:val="00F579F9"/>
    <w:rsid w:val="00F643F1"/>
    <w:rsid w:val="00F6517D"/>
    <w:rsid w:val="00F65618"/>
    <w:rsid w:val="00F65881"/>
    <w:rsid w:val="00F67ADC"/>
    <w:rsid w:val="00F7686C"/>
    <w:rsid w:val="00F805CF"/>
    <w:rsid w:val="00F95DFF"/>
    <w:rsid w:val="00F977EE"/>
    <w:rsid w:val="00FA00C5"/>
    <w:rsid w:val="00FA106C"/>
    <w:rsid w:val="00FA28CF"/>
    <w:rsid w:val="00FA484C"/>
    <w:rsid w:val="00FA7579"/>
    <w:rsid w:val="00FB1D4D"/>
    <w:rsid w:val="00FC172D"/>
    <w:rsid w:val="00FC6530"/>
    <w:rsid w:val="00FC75A1"/>
    <w:rsid w:val="00FD0173"/>
    <w:rsid w:val="00FD0275"/>
    <w:rsid w:val="00FE1D8C"/>
    <w:rsid w:val="00FE3740"/>
    <w:rsid w:val="00FE7171"/>
    <w:rsid w:val="00FF2386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B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6BB0-BCB3-4FBA-A7E7-6BAB3273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13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612</cp:revision>
  <dcterms:created xsi:type="dcterms:W3CDTF">2018-04-16T09:55:00Z</dcterms:created>
  <dcterms:modified xsi:type="dcterms:W3CDTF">2020-12-22T14:26:00Z</dcterms:modified>
</cp:coreProperties>
</file>