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оф.46  Тел. (48330) 2-11-45, 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B92758" w:rsidRPr="00B92758" w:rsidRDefault="00B92758" w:rsidP="00B9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0C4E50" w:rsidRPr="00E82FBE" w:rsidRDefault="000C4E50" w:rsidP="006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Контрольно-счетной палаты Суражского муниципального района</w:t>
      </w:r>
    </w:p>
    <w:p w:rsidR="000C4E50" w:rsidRPr="00E82FBE" w:rsidRDefault="000C4E50" w:rsidP="006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="00A30598">
        <w:rPr>
          <w:rFonts w:ascii="Times New Roman" w:eastAsia="Times New Roman" w:hAnsi="Times New Roman" w:cs="Times New Roman"/>
          <w:b/>
          <w:bCs/>
          <w:sz w:val="24"/>
          <w:szCs w:val="24"/>
        </w:rPr>
        <w:t>Нивнянско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CF685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202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073D3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C4E50" w:rsidRPr="0084768C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</w:t>
      </w:r>
      <w:r w:rsidR="00E82FBE"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                       </w:t>
      </w:r>
      <w:r w:rsidR="006B3060"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4768C"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.12.</w:t>
      </w:r>
      <w:r w:rsidR="00F11941"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84768C"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11941"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0C4E50" w:rsidRPr="005D72ED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C4E50" w:rsidRPr="00E767DC" w:rsidRDefault="000C4E50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C4E50" w:rsidRPr="00E767DC" w:rsidRDefault="000C4E50" w:rsidP="00A9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</w:t>
      </w:r>
      <w:r w:rsidR="00A949F1" w:rsidRPr="00A949F1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A949F1" w:rsidRPr="00A949F1">
        <w:rPr>
          <w:rFonts w:ascii="Times New Roman" w:eastAsia="Times New Roman" w:hAnsi="Times New Roman" w:cs="Times New Roman"/>
          <w:bCs/>
          <w:sz w:val="24"/>
          <w:szCs w:val="24"/>
        </w:rPr>
        <w:t>Нивнянского</w:t>
      </w:r>
      <w:proofErr w:type="spellEnd"/>
      <w:r w:rsidR="00A949F1" w:rsidRPr="00A9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2021 год и на плановый период 2022 и 2023 годов»</w:t>
      </w:r>
      <w:r w:rsidR="00A9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</w:t>
      </w:r>
      <w:proofErr w:type="gram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C29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, приказа №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29A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29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C29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4E50" w:rsidRPr="00E767DC" w:rsidRDefault="000C4E50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A937F6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937F6" w:rsidRPr="00601B2C" w:rsidRDefault="00A937F6" w:rsidP="00A901EC">
      <w:pPr>
        <w:keepNext/>
        <w:spacing w:after="0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937F6" w:rsidRPr="00601B2C" w:rsidRDefault="00A937F6" w:rsidP="00A901EC">
      <w:pPr>
        <w:keepNext/>
        <w:spacing w:after="0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29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C29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ы, что </w:t>
      </w:r>
      <w:r w:rsidRPr="004A1448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установленному периоду в части 1 статьи 173 Бюджетного кодекса Российской Федерации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Прогноз социально-экономического развития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29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C29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10" w:history="1">
        <w:r w:rsidRPr="00601B2C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22.07.2016 г. №74/1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3 статьи 173 Бюджетного кодекса Российской Федерации Прогноз был утвержден постановлением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 от </w:t>
      </w:r>
      <w:r w:rsidR="00FC29A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C29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9A6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364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</w:t>
      </w:r>
      <w:r w:rsidR="00601B2C" w:rsidRPr="00601B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643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364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ов разработан на основе анализа динамики ситуации в экономической и социальной сфере поселения, сценарных условий и основных макроэкономических показателей социально-экономического развития за предыдущие годы, ожидаемых итогов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643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, целевых показателей, установленных Указами Президента Российской Федерации,</w:t>
      </w:r>
      <w:r w:rsidRPr="00601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также с учетом эффекта от реализации антикризисных</w:t>
      </w:r>
      <w:proofErr w:type="gram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повышение устойчивости и оздоровление экономики поселения.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Разработка прогноза социально-экономического развития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до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364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осуществлялась по двум вариантам, с учетом перспектив восстановления роста экономики, а так же проводимой политики государства. В качестве основного принят вариант прогноза, который разработан в условиях сохранения рисков невысокого инвестиционного спроса, слабого роста потребительского спроса, медленного восстановления кредитной активности.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В соответствии с п. 4 ст. 173 БК РФ в пояснительной записке к прогнозу социально-экономического развития приведены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находится 14 населенных пунктов, 2</w:t>
      </w:r>
      <w:r w:rsidR="00AE31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  <w:r w:rsidR="00AE316A">
        <w:rPr>
          <w:rFonts w:ascii="Times New Roman" w:eastAsia="Times New Roman" w:hAnsi="Times New Roman" w:cs="Times New Roman"/>
          <w:sz w:val="24"/>
          <w:szCs w:val="24"/>
        </w:rPr>
        <w:t xml:space="preserve"> различных форм собственности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(13 муниципальной формы собственности).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Названия населенных пунктов, входящих в поселение: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-села: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Нивное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Кромово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Высокоселище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Новый Дроков; 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-деревни: Федоровка, Красное, Старый Дроков; </w:t>
      </w:r>
    </w:p>
    <w:p w:rsidR="00A937F6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-поселки: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Вьюнное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Ковалевщина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>, Ясная Поляна, Красная Поляна, Гордый, Теплый, Александровский.</w:t>
      </w:r>
    </w:p>
    <w:p w:rsidR="00601B2C" w:rsidRPr="00601B2C" w:rsidRDefault="00601B2C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площадь земель поселения 12070 га.</w:t>
      </w:r>
    </w:p>
    <w:p w:rsidR="00A937F6" w:rsidRPr="00AE316A" w:rsidRDefault="0013643D" w:rsidP="00A901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на селения на 01.01.2020г. составляла 1546 чел.</w:t>
      </w:r>
    </w:p>
    <w:p w:rsidR="00A937F6" w:rsidRPr="00AE316A" w:rsidRDefault="00A937F6" w:rsidP="00A901E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A937F6" w:rsidRPr="00AE316A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>Первостепенной задачей является обеспечение рабочими местами экономически активное население, их финансовая поддержка с целью закрепления трудовых ресурсов в поселении.</w:t>
      </w:r>
      <w:r w:rsidR="001E3A02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экономически активного населения составляет 784 чел. 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>Большая часть трудового населения занято в работе:</w:t>
      </w:r>
      <w:r w:rsidRPr="001A7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8E3">
        <w:rPr>
          <w:rFonts w:ascii="Times New Roman" w:eastAsia="Times New Roman" w:hAnsi="Times New Roman" w:cs="Times New Roman"/>
          <w:sz w:val="24"/>
          <w:szCs w:val="24"/>
        </w:rPr>
        <w:t>СПК «Новая жизнь», и 4-х крестьянско-фермерских хозяйств</w:t>
      </w:r>
      <w:r w:rsidR="00AE316A" w:rsidRPr="001A78E3">
        <w:rPr>
          <w:rFonts w:ascii="Times New Roman" w:eastAsia="Times New Roman" w:hAnsi="Times New Roman" w:cs="Times New Roman"/>
          <w:sz w:val="24"/>
          <w:szCs w:val="24"/>
        </w:rPr>
        <w:t>, ООО «Брянская мясная компания»</w:t>
      </w:r>
      <w:r w:rsidRPr="001A7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>Инвестиции в основной капитал планируется в сельскохозяйственных предприятиях на воспроизводство стада КРС.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на территории поселения не планируется. 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1A78E3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11 магазинов индивидуальных предпринимателей. Объекты общественного питания на территории поселения отсутствуют.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на территории поселения обеспечивается </w:t>
      </w:r>
      <w:proofErr w:type="spellStart"/>
      <w:r w:rsidRPr="001A78E3">
        <w:rPr>
          <w:rFonts w:ascii="Times New Roman" w:eastAsia="Times New Roman" w:hAnsi="Times New Roman" w:cs="Times New Roman"/>
          <w:sz w:val="24"/>
          <w:szCs w:val="24"/>
        </w:rPr>
        <w:t>Суражским</w:t>
      </w:r>
      <w:proofErr w:type="spellEnd"/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 АТП. Для успешного развития экономики необходимо поддерживать сообщение между всеми населенными пунктами.</w:t>
      </w:r>
    </w:p>
    <w:p w:rsidR="00D334CF" w:rsidRPr="00E82FBE" w:rsidRDefault="00B92758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проекта решения</w:t>
      </w:r>
      <w:r w:rsid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Нивнянского</w:t>
      </w:r>
      <w:proofErr w:type="spellEnd"/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2021 год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202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2023 год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20511" w:rsidRDefault="00BE1C01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BE1C01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внесен в Контрольно-счётную палату Суражского муниципального района 1</w:t>
      </w:r>
      <w:r w:rsidR="0042051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42051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20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414" w:rsidRPr="00420511" w:rsidRDefault="00420511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05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</w:t>
      </w:r>
      <w:r w:rsidR="00657414" w:rsidRPr="00420511">
        <w:rPr>
          <w:rFonts w:ascii="Times New Roman" w:eastAsia="Times New Roman" w:hAnsi="Times New Roman" w:cs="Times New Roman"/>
          <w:b/>
          <w:i/>
          <w:sz w:val="24"/>
          <w:szCs w:val="24"/>
        </w:rPr>
        <w:t>п. 1 ст. 185 Бюджетного кодекса РФ</w:t>
      </w:r>
      <w:r w:rsidRPr="004205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проект бюджета </w:t>
      </w:r>
      <w:proofErr w:type="spellStart"/>
      <w:r w:rsidRPr="00420511">
        <w:rPr>
          <w:rFonts w:ascii="Times New Roman" w:eastAsia="Times New Roman" w:hAnsi="Times New Roman" w:cs="Times New Roman"/>
          <w:b/>
          <w:i/>
          <w:sz w:val="24"/>
          <w:szCs w:val="24"/>
        </w:rPr>
        <w:t>Нивнянского</w:t>
      </w:r>
      <w:proofErr w:type="spellEnd"/>
      <w:r w:rsidRPr="004205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внесен для экспертизы с нарушением срока</w:t>
      </w:r>
      <w:r w:rsidR="00657414" w:rsidRPr="0042051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05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05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05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</w:t>
      </w:r>
      <w:r w:rsidR="00E42592" w:rsidRPr="00D229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05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05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4209CC" w:rsidRPr="00D2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4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</w:t>
      </w:r>
      <w:r w:rsidR="00E42592" w:rsidRPr="00D229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1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41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4. Предварительные итоги социально-экономического развития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4209CC" w:rsidRPr="00D2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за 9 месяцев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64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29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D22902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соответствующей территории за теку</w:t>
      </w:r>
      <w:r w:rsidRPr="00D22902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</w:p>
    <w:p w:rsidR="00B92758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64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8C" w:rsidRPr="00D22902" w:rsidRDefault="00A065D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80B8C">
        <w:rPr>
          <w:rFonts w:ascii="Times New Roman" w:eastAsia="Times New Roman" w:hAnsi="Times New Roman" w:cs="Times New Roman"/>
          <w:sz w:val="24"/>
          <w:szCs w:val="24"/>
        </w:rPr>
        <w:t>. Реестры источников доходов бюджетной системы РФ.</w:t>
      </w:r>
    </w:p>
    <w:p w:rsidR="00E42592" w:rsidRPr="00D22902" w:rsidRDefault="00A065D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42592"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B92758" w:rsidRPr="00C84B76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B92758" w:rsidRPr="00C84B76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F04235"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2021-202</w:t>
      </w:r>
      <w:r w:rsidR="004958B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1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доходов. </w:t>
      </w:r>
      <w:proofErr w:type="gramEnd"/>
    </w:p>
    <w:p w:rsidR="00B92758" w:rsidRPr="00C84B76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58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58B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92758" w:rsidRPr="00C84B76" w:rsidRDefault="00B92758" w:rsidP="00A901EC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C84B76">
        <w:rPr>
          <w:rFonts w:ascii="Arial" w:eastAsia="Times New Roman" w:hAnsi="Arial" w:cs="Arial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B92758" w:rsidRPr="00C84B76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Исполнена статья 184.1 БК РФ в части состава </w:t>
      </w:r>
      <w:r w:rsidR="00085624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бюджета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района: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58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5A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8B8">
        <w:rPr>
          <w:rFonts w:ascii="Times New Roman" w:eastAsia="Times New Roman" w:hAnsi="Times New Roman" w:cs="Times New Roman"/>
          <w:sz w:val="24"/>
          <w:szCs w:val="24"/>
        </w:rPr>
        <w:t>2964,8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58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A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8B8">
        <w:rPr>
          <w:rFonts w:ascii="Times New Roman" w:eastAsia="Times New Roman" w:hAnsi="Times New Roman" w:cs="Times New Roman"/>
          <w:sz w:val="24"/>
          <w:szCs w:val="24"/>
        </w:rPr>
        <w:t>2964,8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58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5A4EC7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соответствии с указанной статьей, проектом </w:t>
      </w:r>
      <w:proofErr w:type="gramStart"/>
      <w:r w:rsidRPr="005D2F8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4559" w:rsidRPr="00994559" w:rsidRDefault="00994559" w:rsidP="00A901EC">
      <w:pPr>
        <w:pStyle w:val="af4"/>
        <w:numPr>
          <w:ilvl w:val="0"/>
          <w:numId w:val="5"/>
        </w:numPr>
        <w:spacing w:line="276" w:lineRule="auto"/>
        <w:ind w:left="1134" w:hanging="720"/>
        <w:jc w:val="both"/>
        <w:rPr>
          <w:rFonts w:ascii="Wingdings" w:hAnsi="Wingdings"/>
          <w:sz w:val="24"/>
          <w:szCs w:val="24"/>
        </w:rPr>
      </w:pPr>
      <w:r w:rsidRPr="00994559">
        <w:rPr>
          <w:sz w:val="24"/>
          <w:szCs w:val="24"/>
        </w:rPr>
        <w:t xml:space="preserve">проектом установлены основные характеристики бюджета </w:t>
      </w:r>
      <w:proofErr w:type="spellStart"/>
      <w:r w:rsidRPr="00994559">
        <w:rPr>
          <w:sz w:val="24"/>
          <w:szCs w:val="24"/>
        </w:rPr>
        <w:t>Нивнянского</w:t>
      </w:r>
      <w:proofErr w:type="spellEnd"/>
      <w:r w:rsidRPr="00994559">
        <w:rPr>
          <w:sz w:val="24"/>
          <w:szCs w:val="24"/>
        </w:rPr>
        <w:t xml:space="preserve"> сельского поселения  на 202</w:t>
      </w:r>
      <w:r w:rsidR="008E2CED">
        <w:rPr>
          <w:sz w:val="24"/>
          <w:szCs w:val="24"/>
        </w:rPr>
        <w:t>2</w:t>
      </w:r>
      <w:r w:rsidRPr="00994559">
        <w:rPr>
          <w:sz w:val="24"/>
          <w:szCs w:val="24"/>
        </w:rPr>
        <w:t>-202</w:t>
      </w:r>
      <w:r w:rsidR="008E2CED">
        <w:rPr>
          <w:sz w:val="24"/>
          <w:szCs w:val="24"/>
        </w:rPr>
        <w:t>3</w:t>
      </w:r>
      <w:r w:rsidRPr="00994559">
        <w:rPr>
          <w:sz w:val="24"/>
          <w:szCs w:val="24"/>
        </w:rPr>
        <w:t xml:space="preserve"> годы</w:t>
      </w:r>
      <w:r w:rsidR="00271164">
        <w:rPr>
          <w:sz w:val="24"/>
          <w:szCs w:val="24"/>
        </w:rPr>
        <w:t>;</w:t>
      </w:r>
      <w:r w:rsidRPr="00994559">
        <w:rPr>
          <w:rFonts w:ascii="Wingdings" w:hAnsi="Wingdings"/>
          <w:sz w:val="24"/>
          <w:szCs w:val="24"/>
        </w:rPr>
        <w:t>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B92758" w:rsidRPr="005D2F8F" w:rsidRDefault="00B92758" w:rsidP="00A901EC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2F8F">
        <w:rPr>
          <w:rFonts w:ascii="Wingdings" w:eastAsia="Times New Roman" w:hAnsi="Wingdings" w:cs="Arial"/>
          <w:sz w:val="24"/>
          <w:szCs w:val="24"/>
        </w:rPr>
        <w:lastRenderedPageBreak/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B92758" w:rsidRPr="005D2F8F" w:rsidRDefault="00B92758" w:rsidP="00A901EC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объемы межбюджетных трансфертов, получаемых из других бюджетов бюджетной системы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E2C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E2CED">
        <w:rPr>
          <w:rFonts w:ascii="Times New Roman" w:eastAsia="Times New Roman" w:hAnsi="Times New Roman" w:cs="Times New Roman"/>
          <w:sz w:val="24"/>
          <w:szCs w:val="24"/>
        </w:rPr>
        <w:t>13258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E2C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E2CED">
        <w:rPr>
          <w:rFonts w:ascii="Times New Roman" w:eastAsia="Times New Roman" w:hAnsi="Times New Roman" w:cs="Times New Roman"/>
          <w:sz w:val="24"/>
          <w:szCs w:val="24"/>
        </w:rPr>
        <w:t>1325,7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E2CE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E2CED">
        <w:rPr>
          <w:rFonts w:ascii="Times New Roman" w:eastAsia="Times New Roman" w:hAnsi="Times New Roman" w:cs="Times New Roman"/>
          <w:sz w:val="24"/>
          <w:szCs w:val="24"/>
        </w:rPr>
        <w:t>1327,1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D2F9C" w:rsidRPr="005D2F8F" w:rsidRDefault="00DD2F9C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объемы межбюджетных трансфертов, </w:t>
      </w:r>
      <w:r>
        <w:rPr>
          <w:rFonts w:ascii="Times New Roman" w:eastAsia="Times New Roman" w:hAnsi="Times New Roman" w:cs="Times New Roman"/>
          <w:sz w:val="24"/>
          <w:szCs w:val="24"/>
        </w:rPr>
        <w:t>передаваемых поселением:</w:t>
      </w:r>
    </w:p>
    <w:p w:rsidR="00DD2F9C" w:rsidRPr="005D2F8F" w:rsidRDefault="00DD2F9C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329A1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DD2F9C" w:rsidRPr="005D2F8F" w:rsidRDefault="00DD2F9C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329A1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DD2F9C" w:rsidRPr="005D2F8F" w:rsidRDefault="00DD2F9C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329A1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6125D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01.01.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2F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а, на 01.01.202</w:t>
      </w:r>
      <w:r w:rsidR="00DD2F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года,  на 01.01.202</w:t>
      </w:r>
      <w:r w:rsidR="00DD2F9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рублей.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620D9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B92758" w:rsidRPr="005D2F8F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2F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20D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B92758" w:rsidRPr="005D2F8F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2F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20D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B92758" w:rsidRPr="005D2F8F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2F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9945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и на плановый период 20</w:t>
      </w:r>
      <w:r w:rsidR="00A00CA7" w:rsidRPr="005D2F8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B92758" w:rsidRDefault="005D2F8F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9A9">
        <w:rPr>
          <w:rFonts w:ascii="Wingdings" w:eastAsia="Times New Roman" w:hAnsi="Wingdings" w:cs="Times New Roman"/>
          <w:sz w:val="24"/>
          <w:szCs w:val="24"/>
        </w:rPr>
        <w:t></w:t>
      </w:r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 в проекте </w:t>
      </w:r>
      <w:r w:rsidR="00B92758" w:rsidRPr="00C819A9">
        <w:rPr>
          <w:rFonts w:ascii="Times New Roman" w:eastAsia="Times New Roman" w:hAnsi="Times New Roman" w:cs="Times New Roman"/>
          <w:sz w:val="24"/>
          <w:szCs w:val="24"/>
        </w:rPr>
        <w:t>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</w:t>
      </w:r>
      <w:proofErr w:type="gramEnd"/>
      <w:r w:rsidR="00B92758" w:rsidRPr="00C819A9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gramStart"/>
      <w:r w:rsidR="00B92758" w:rsidRPr="00C819A9">
        <w:rPr>
          <w:rFonts w:ascii="Times New Roman" w:eastAsia="Times New Roman" w:hAnsi="Times New Roman" w:cs="Times New Roman"/>
          <w:sz w:val="24"/>
          <w:szCs w:val="24"/>
        </w:rPr>
        <w:t>превышающем</w:t>
      </w:r>
      <w:proofErr w:type="gramEnd"/>
      <w:r w:rsidR="00B92758" w:rsidRPr="00C819A9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C819A9" w:rsidRPr="00766982" w:rsidRDefault="00C819A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C819A9" w:rsidRPr="00766982" w:rsidRDefault="00C819A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перечень главных </w:t>
      </w:r>
      <w:proofErr w:type="gramStart"/>
      <w:r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671F58" w:rsidRDefault="00C819A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Wingdings" w:eastAsia="Times New Roman" w:hAnsi="Wingdings" w:cs="Times New Roman"/>
          <w:sz w:val="24"/>
          <w:szCs w:val="24"/>
        </w:rPr>
        <w:t></w:t>
      </w:r>
      <w:r w:rsidRPr="00671F58">
        <w:rPr>
          <w:rFonts w:ascii="Wingdings" w:eastAsia="Times New Roman" w:hAnsi="Wingdings" w:cs="Times New Roman"/>
          <w:sz w:val="24"/>
          <w:szCs w:val="24"/>
        </w:rPr>
        <w:t>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8971EC">
        <w:rPr>
          <w:rFonts w:ascii="Times New Roman" w:eastAsia="Times New Roman" w:hAnsi="Times New Roman" w:cs="Times New Roman"/>
          <w:sz w:val="24"/>
          <w:szCs w:val="24"/>
        </w:rPr>
        <w:t>Нивнянским</w:t>
      </w:r>
      <w:proofErr w:type="spellEnd"/>
      <w:r w:rsidR="008971EC" w:rsidRPr="00671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сельским поселением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70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B92758" w:rsidRPr="00671F58" w:rsidRDefault="00B92758" w:rsidP="00A901EC">
      <w:pPr>
        <w:spacing w:after="0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поселения </w:t>
      </w:r>
    </w:p>
    <w:p w:rsidR="00B92758" w:rsidRPr="00671F58" w:rsidRDefault="00B92758" w:rsidP="00A901EC">
      <w:pPr>
        <w:spacing w:after="0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D0EA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20</w:t>
      </w:r>
      <w:r w:rsidR="00671F58"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D0EA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D0EA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</w:p>
    <w:p w:rsidR="003B7E74" w:rsidRDefault="00B92758" w:rsidP="00B9275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D0EA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72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006"/>
        <w:gridCol w:w="866"/>
        <w:gridCol w:w="851"/>
        <w:gridCol w:w="850"/>
        <w:gridCol w:w="851"/>
        <w:gridCol w:w="821"/>
        <w:gridCol w:w="851"/>
        <w:gridCol w:w="850"/>
      </w:tblGrid>
      <w:tr w:rsidR="00271164" w:rsidRPr="00A96DDE" w:rsidTr="00AE51AE">
        <w:trPr>
          <w:trHeight w:val="25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</w:t>
            </w:r>
            <w:r w:rsid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(</w:t>
            </w:r>
            <w:proofErr w:type="spellStart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  <w:proofErr w:type="gramEnd"/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E63F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202</w:t>
            </w:r>
            <w:r w:rsidR="00E63F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E63F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E63F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E63F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E63F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71164" w:rsidRPr="00A96DDE" w:rsidTr="00AE51AE">
        <w:trPr>
          <w:trHeight w:val="679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164" w:rsidRPr="00A96DDE" w:rsidRDefault="00271164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164" w:rsidRPr="00A96DDE" w:rsidRDefault="00271164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AE" w:rsidRPr="00AE51AE" w:rsidRDefault="00AE51AE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271164" w:rsidRPr="00A96DDE" w:rsidRDefault="00AE51AE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AE" w:rsidRPr="00AE51AE" w:rsidRDefault="00AE51AE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271164" w:rsidRPr="00A96DDE" w:rsidRDefault="00AE51AE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AE" w:rsidRDefault="00271164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271164" w:rsidRPr="00A96DDE" w:rsidRDefault="00271164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BB627B" w:rsidRPr="00A96DDE" w:rsidTr="00052EBE">
        <w:trPr>
          <w:trHeight w:val="25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A96DDE" w:rsidRDefault="00BB627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2754,9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2964,8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209,9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2958,7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2941,1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B627B" w:rsidRPr="00A96DDE" w:rsidTr="00052EBE">
        <w:trPr>
          <w:trHeight w:val="36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A96DDE" w:rsidRDefault="00BB627B" w:rsidP="002B494D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3330,2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2964,8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-365,4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2958,7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2941,1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B627B" w:rsidRPr="00A96DDE" w:rsidTr="00052EBE">
        <w:trPr>
          <w:trHeight w:val="26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A96DDE" w:rsidRDefault="00BB627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-575,3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575,3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7B" w:rsidRPr="00BB627B" w:rsidRDefault="00BB627B" w:rsidP="0073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92758" w:rsidRPr="00D87F67" w:rsidRDefault="00F11941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584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541AC7">
        <w:rPr>
          <w:rFonts w:ascii="Times New Roman" w:eastAsia="Times New Roman" w:hAnsi="Times New Roman" w:cs="Times New Roman"/>
          <w:sz w:val="24"/>
          <w:szCs w:val="24"/>
        </w:rPr>
        <w:t xml:space="preserve">2964,8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0954B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51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оценки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1AC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41AC7">
        <w:rPr>
          <w:rFonts w:ascii="Times New Roman" w:eastAsia="Times New Roman" w:hAnsi="Times New Roman" w:cs="Times New Roman"/>
          <w:sz w:val="24"/>
          <w:szCs w:val="24"/>
        </w:rPr>
        <w:t>209,9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541AC7">
        <w:rPr>
          <w:rFonts w:ascii="Times New Roman" w:eastAsia="Times New Roman" w:hAnsi="Times New Roman" w:cs="Times New Roman"/>
          <w:sz w:val="24"/>
          <w:szCs w:val="24"/>
        </w:rPr>
        <w:t>7,6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B92758" w:rsidRPr="00D87F67" w:rsidRDefault="00B92758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72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667257">
        <w:rPr>
          <w:rFonts w:ascii="Times New Roman" w:eastAsia="Times New Roman" w:hAnsi="Times New Roman" w:cs="Times New Roman"/>
          <w:sz w:val="24"/>
          <w:szCs w:val="24"/>
        </w:rPr>
        <w:t>2964,8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667257">
        <w:rPr>
          <w:rFonts w:ascii="Times New Roman" w:eastAsia="Times New Roman" w:hAnsi="Times New Roman" w:cs="Times New Roman"/>
          <w:sz w:val="24"/>
          <w:szCs w:val="24"/>
        </w:rPr>
        <w:t xml:space="preserve">365,4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667257">
        <w:rPr>
          <w:rFonts w:ascii="Times New Roman" w:eastAsia="Times New Roman" w:hAnsi="Times New Roman" w:cs="Times New Roman"/>
          <w:sz w:val="24"/>
          <w:szCs w:val="24"/>
        </w:rPr>
        <w:t>11,0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954B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оценки объёма расходов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672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</w:t>
      </w:r>
      <w:r w:rsidR="001C7A0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1C7A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758" w:rsidRPr="00D87F67" w:rsidRDefault="00F11941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584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8D256E">
        <w:rPr>
          <w:rFonts w:ascii="Times New Roman" w:eastAsia="Times New Roman" w:hAnsi="Times New Roman" w:cs="Times New Roman"/>
          <w:sz w:val="24"/>
          <w:szCs w:val="24"/>
        </w:rPr>
        <w:t xml:space="preserve">2958,7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>тыс. рублей, с у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 xml:space="preserve">предыдущему году по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объему доходов 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>и расходов на 0,2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 сба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сирован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220" w:rsidRPr="00D87F67" w:rsidRDefault="00F11941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584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7F1" w:rsidRPr="009A47F1">
        <w:rPr>
          <w:rFonts w:ascii="Times New Roman" w:eastAsia="Times New Roman" w:hAnsi="Times New Roman" w:cs="Times New Roman"/>
          <w:sz w:val="24"/>
          <w:szCs w:val="24"/>
        </w:rPr>
        <w:t>Общий объем доходов и расходов бюджета  предусмотрен в сумме 29</w:t>
      </w:r>
      <w:r w:rsidR="009A47F1">
        <w:rPr>
          <w:rFonts w:ascii="Times New Roman" w:eastAsia="Times New Roman" w:hAnsi="Times New Roman" w:cs="Times New Roman"/>
          <w:sz w:val="24"/>
          <w:szCs w:val="24"/>
        </w:rPr>
        <w:t>41,1</w:t>
      </w:r>
      <w:r w:rsidR="009A47F1" w:rsidRPr="009A47F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уменьшением к предыдущему году по объему доходов и расходов на 0,</w:t>
      </w:r>
      <w:r w:rsidR="009A47F1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47F1" w:rsidRPr="009A47F1">
        <w:rPr>
          <w:rFonts w:ascii="Times New Roman" w:eastAsia="Times New Roman" w:hAnsi="Times New Roman" w:cs="Times New Roman"/>
          <w:sz w:val="24"/>
          <w:szCs w:val="24"/>
        </w:rPr>
        <w:t>%. Бюджет сбалансирован.</w:t>
      </w:r>
    </w:p>
    <w:p w:rsidR="00B92758" w:rsidRPr="001A7D01" w:rsidRDefault="00B92758" w:rsidP="00A901EC">
      <w:pPr>
        <w:shd w:val="clear" w:color="auto" w:fill="FFFFFF"/>
        <w:spacing w:after="0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D0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B92758" w:rsidRPr="00D87F67" w:rsidRDefault="00B92758" w:rsidP="00A901EC">
      <w:pPr>
        <w:shd w:val="clear" w:color="auto" w:fill="FFFFFF"/>
        <w:spacing w:after="0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B92758" w:rsidRPr="00D87F67" w:rsidRDefault="00B92758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показателей доходной части бюджета в 20</w:t>
      </w:r>
      <w:r w:rsidR="00844E0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44E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844E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6883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87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041"/>
        <w:gridCol w:w="1029"/>
        <w:gridCol w:w="1120"/>
        <w:gridCol w:w="740"/>
        <w:gridCol w:w="986"/>
        <w:gridCol w:w="804"/>
        <w:gridCol w:w="917"/>
        <w:gridCol w:w="740"/>
      </w:tblGrid>
      <w:tr w:rsidR="00446883" w:rsidRPr="00465637" w:rsidTr="00A9465F">
        <w:trPr>
          <w:trHeight w:val="285"/>
          <w:jc w:val="center"/>
        </w:trPr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  <w:proofErr w:type="gramEnd"/>
          </w:p>
        </w:tc>
        <w:tc>
          <w:tcPr>
            <w:tcW w:w="2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4E713F" w:rsidRPr="00465637" w:rsidTr="00A9465F">
        <w:trPr>
          <w:trHeight w:val="510"/>
          <w:jc w:val="center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83" w:rsidRPr="00465637" w:rsidRDefault="00446883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83" w:rsidRPr="00465637" w:rsidRDefault="00446883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878" w:rsidRPr="00052878" w:rsidRDefault="00052878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446883" w:rsidRPr="00465637" w:rsidRDefault="00052878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878" w:rsidRPr="00052878" w:rsidRDefault="00052878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446883" w:rsidRPr="00465637" w:rsidRDefault="00052878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878" w:rsidRDefault="00446883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446883" w:rsidRPr="00465637" w:rsidRDefault="00446883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4E713F" w:rsidRPr="00465637" w:rsidTr="00A9465F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65637" w:rsidRDefault="004E713F" w:rsidP="002B494D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2754,9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2964,8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209,9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2958,7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2941,1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</w:tr>
      <w:tr w:rsidR="004E713F" w:rsidRPr="00465637" w:rsidTr="00A9465F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65637" w:rsidRDefault="004E713F" w:rsidP="002B494D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1805,0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1588,0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-217,0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1582,0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1563,0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4E713F" w:rsidRPr="00465637" w:rsidTr="00A9465F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65637" w:rsidRDefault="004E713F" w:rsidP="002B494D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-17,0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E713F" w:rsidRPr="00465637" w:rsidTr="00A9465F">
        <w:trPr>
          <w:trHeight w:val="31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65637" w:rsidRDefault="004E713F" w:rsidP="002B494D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881,9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1325,8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443,9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150,3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1325,7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1327,1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3F" w:rsidRPr="004E713F" w:rsidRDefault="004E713F" w:rsidP="007E0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3F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</w:tbl>
    <w:p w:rsidR="00B92758" w:rsidRPr="005C372F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E71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6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20</w:t>
      </w:r>
      <w:r w:rsidR="004E713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6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E713F">
        <w:rPr>
          <w:rFonts w:ascii="Times New Roman" w:eastAsia="Times New Roman" w:hAnsi="Times New Roman" w:cs="Times New Roman"/>
          <w:sz w:val="24"/>
          <w:szCs w:val="24"/>
        </w:rPr>
        <w:t>7,6</w:t>
      </w:r>
      <w:r w:rsidR="0082426D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4E713F">
        <w:rPr>
          <w:rFonts w:ascii="Times New Roman" w:eastAsia="Times New Roman" w:hAnsi="Times New Roman" w:cs="Times New Roman"/>
          <w:sz w:val="24"/>
          <w:szCs w:val="24"/>
        </w:rPr>
        <w:t xml:space="preserve">209,9 </w:t>
      </w:r>
      <w:r w:rsidR="0082426D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за счет у</w:t>
      </w:r>
      <w:r w:rsidR="0082426D">
        <w:rPr>
          <w:rFonts w:ascii="Times New Roman" w:eastAsia="Times New Roman" w:hAnsi="Times New Roman" w:cs="Times New Roman"/>
          <w:sz w:val="24"/>
          <w:szCs w:val="24"/>
        </w:rPr>
        <w:t>величения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суммы:</w:t>
      </w:r>
    </w:p>
    <w:p w:rsidR="00B92758" w:rsidRPr="005C372F" w:rsidRDefault="00E91874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2758" w:rsidRPr="005C372F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на </w:t>
      </w:r>
      <w:r w:rsidR="004E713F">
        <w:rPr>
          <w:rFonts w:ascii="Times New Roman" w:eastAsia="Times New Roman" w:hAnsi="Times New Roman" w:cs="Times New Roman"/>
          <w:sz w:val="24"/>
          <w:szCs w:val="24"/>
        </w:rPr>
        <w:t>443,9</w:t>
      </w:r>
      <w:r w:rsidR="00B92758" w:rsidRPr="005C372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2426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E713F">
        <w:rPr>
          <w:rFonts w:ascii="Times New Roman" w:eastAsia="Times New Roman" w:hAnsi="Times New Roman" w:cs="Times New Roman"/>
          <w:sz w:val="24"/>
          <w:szCs w:val="24"/>
        </w:rPr>
        <w:t xml:space="preserve">1,5 </w:t>
      </w:r>
      <w:r w:rsidR="0082426D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="00B92758" w:rsidRPr="005C3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1823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При этом планируется </w:t>
      </w:r>
      <w:r w:rsidR="00813563">
        <w:rPr>
          <w:rFonts w:ascii="Times New Roman" w:eastAsia="Times New Roman" w:hAnsi="Times New Roman" w:cs="Times New Roman"/>
          <w:sz w:val="24"/>
          <w:szCs w:val="24"/>
        </w:rPr>
        <w:t xml:space="preserve">снижение собственных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931823">
        <w:rPr>
          <w:rFonts w:ascii="Times New Roman" w:eastAsia="Times New Roman" w:hAnsi="Times New Roman" w:cs="Times New Roman"/>
          <w:sz w:val="24"/>
          <w:szCs w:val="24"/>
        </w:rPr>
        <w:t>и в плановом периоде 202</w:t>
      </w:r>
      <w:r w:rsidR="008135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182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135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1823">
        <w:rPr>
          <w:rFonts w:ascii="Times New Roman" w:eastAsia="Times New Roman" w:hAnsi="Times New Roman" w:cs="Times New Roman"/>
          <w:sz w:val="24"/>
          <w:szCs w:val="24"/>
        </w:rPr>
        <w:t xml:space="preserve"> годов на </w:t>
      </w:r>
      <w:r w:rsidR="00813563">
        <w:rPr>
          <w:rFonts w:ascii="Times New Roman" w:eastAsia="Times New Roman" w:hAnsi="Times New Roman" w:cs="Times New Roman"/>
          <w:sz w:val="24"/>
          <w:szCs w:val="24"/>
        </w:rPr>
        <w:t>0,2%</w:t>
      </w:r>
      <w:r w:rsidR="009318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13563">
        <w:rPr>
          <w:rFonts w:ascii="Times New Roman" w:eastAsia="Times New Roman" w:hAnsi="Times New Roman" w:cs="Times New Roman"/>
          <w:sz w:val="24"/>
          <w:szCs w:val="24"/>
        </w:rPr>
        <w:t>0,6</w:t>
      </w:r>
      <w:r w:rsidR="00931823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B92758" w:rsidRPr="005C372F" w:rsidRDefault="00B92758" w:rsidP="00A901E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 в 20</w:t>
      </w:r>
      <w:r w:rsidR="005356D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356D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FA49BD" w:rsidRPr="005C372F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356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5C4F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1045"/>
        <w:gridCol w:w="709"/>
        <w:gridCol w:w="1134"/>
        <w:gridCol w:w="798"/>
        <w:gridCol w:w="992"/>
        <w:gridCol w:w="709"/>
        <w:gridCol w:w="30"/>
      </w:tblGrid>
      <w:tr w:rsidR="001F796F" w:rsidRPr="00304924" w:rsidTr="005356D2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1F796F" w:rsidRPr="00304924" w:rsidRDefault="001F796F" w:rsidP="00B62A8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B62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B62A8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62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B62A8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62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B62A8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62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1F796F" w:rsidRPr="00304924" w:rsidRDefault="001F796F" w:rsidP="00CA6F6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ктура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5356D2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5356D2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0D92" w:rsidRPr="00304924" w:rsidTr="00E240B0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D92" w:rsidRPr="00304924" w:rsidRDefault="00550D92" w:rsidP="00FF671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" w:type="dxa"/>
            <w:vAlign w:val="center"/>
          </w:tcPr>
          <w:p w:rsidR="00550D92" w:rsidRPr="00304924" w:rsidRDefault="00550D92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0D92" w:rsidRPr="00304924" w:rsidTr="00E240B0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92" w:rsidRPr="00304924" w:rsidRDefault="00550D92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30" w:type="dxa"/>
            <w:vAlign w:val="center"/>
            <w:hideMark/>
          </w:tcPr>
          <w:p w:rsidR="00550D92" w:rsidRPr="00304924" w:rsidRDefault="00550D92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0D92" w:rsidRPr="00304924" w:rsidTr="00E240B0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92" w:rsidRPr="00304924" w:rsidRDefault="00550D92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0" w:type="dxa"/>
            <w:vAlign w:val="center"/>
            <w:hideMark/>
          </w:tcPr>
          <w:p w:rsidR="00550D92" w:rsidRPr="00304924" w:rsidRDefault="00550D92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0D92" w:rsidRPr="00304924" w:rsidTr="00E240B0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92" w:rsidRPr="00304924" w:rsidRDefault="00550D92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1325,7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92" w:rsidRPr="00550D92" w:rsidRDefault="00550D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30" w:type="dxa"/>
            <w:vAlign w:val="center"/>
            <w:hideMark/>
          </w:tcPr>
          <w:p w:rsidR="00550D92" w:rsidRPr="00304924" w:rsidRDefault="00550D92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2758" w:rsidRPr="003E4912" w:rsidRDefault="00B92758" w:rsidP="00A901EC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308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6096E">
        <w:rPr>
          <w:rFonts w:ascii="Times New Roman" w:eastAsia="Times New Roman" w:hAnsi="Times New Roman" w:cs="Times New Roman"/>
          <w:sz w:val="24"/>
          <w:szCs w:val="24"/>
        </w:rPr>
        <w:t>53,6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при этом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6096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6096E">
        <w:rPr>
          <w:rFonts w:ascii="Times New Roman" w:eastAsia="Times New Roman" w:hAnsi="Times New Roman" w:cs="Times New Roman"/>
          <w:sz w:val="24"/>
          <w:szCs w:val="24"/>
        </w:rPr>
        <w:t>11,9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Доля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бюджета составит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05E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B05E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304924" w:rsidRPr="003E4912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E6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0,</w:t>
      </w:r>
      <w:r w:rsidR="00B05E6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04924" w:rsidRPr="003E491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05E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B05E61">
        <w:rPr>
          <w:rFonts w:ascii="Times New Roman" w:eastAsia="Times New Roman" w:hAnsi="Times New Roman" w:cs="Times New Roman"/>
          <w:sz w:val="24"/>
          <w:szCs w:val="24"/>
        </w:rPr>
        <w:t>44,7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что выше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E6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B05E61">
        <w:rPr>
          <w:rFonts w:ascii="Times New Roman" w:eastAsia="Times New Roman" w:hAnsi="Times New Roman" w:cs="Times New Roman"/>
          <w:sz w:val="24"/>
          <w:szCs w:val="24"/>
        </w:rPr>
        <w:t>12,7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2758" w:rsidRPr="003E491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</w:t>
      </w:r>
      <w:r w:rsidR="00304924" w:rsidRPr="003E49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1E5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21E5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</w:t>
      </w:r>
      <w:r w:rsidR="0042167C"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собственных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доходов занимают </w:t>
      </w:r>
      <w:r w:rsidR="00521E54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– </w:t>
      </w:r>
      <w:r w:rsidR="00521E54">
        <w:rPr>
          <w:rFonts w:ascii="Times New Roman" w:eastAsia="Times New Roman" w:hAnsi="Times New Roman" w:cs="Times New Roman"/>
          <w:sz w:val="24"/>
          <w:szCs w:val="24"/>
        </w:rPr>
        <w:t>53,5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21E54">
        <w:rPr>
          <w:rFonts w:ascii="Times New Roman" w:eastAsia="Times New Roman" w:hAnsi="Times New Roman" w:cs="Times New Roman"/>
          <w:sz w:val="24"/>
          <w:szCs w:val="24"/>
        </w:rPr>
        <w:t>53,1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521E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структуре доходов в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21E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21E5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составят </w:t>
      </w:r>
      <w:r w:rsidR="00521E54">
        <w:rPr>
          <w:rFonts w:ascii="Times New Roman" w:eastAsia="Times New Roman" w:hAnsi="Times New Roman" w:cs="Times New Roman"/>
          <w:sz w:val="24"/>
          <w:szCs w:val="24"/>
        </w:rPr>
        <w:t>44,8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21E54">
        <w:rPr>
          <w:rFonts w:ascii="Times New Roman" w:eastAsia="Times New Roman" w:hAnsi="Times New Roman" w:cs="Times New Roman"/>
          <w:sz w:val="24"/>
          <w:szCs w:val="24"/>
        </w:rPr>
        <w:t>45,1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D75CF3" w:rsidRPr="00122CE5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2CE5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122CE5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F11941" w:rsidRPr="00122CE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5CF3" w:rsidRPr="00122C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122CE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22CE5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D75CF3" w:rsidRPr="00122CE5">
        <w:rPr>
          <w:rFonts w:ascii="Times New Roman" w:eastAsia="Times New Roman" w:hAnsi="Times New Roman" w:cs="Times New Roman"/>
          <w:sz w:val="24"/>
          <w:szCs w:val="24"/>
        </w:rPr>
        <w:t>1588,0</w:t>
      </w:r>
      <w:r w:rsidRPr="00122CE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75CF3" w:rsidRPr="00122CE5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122CE5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F11941" w:rsidRPr="00122CE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75CF3" w:rsidRPr="00122CE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 w:rsidRPr="00122CE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22CE5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75CF3" w:rsidRPr="00122CE5">
        <w:rPr>
          <w:rFonts w:ascii="Times New Roman" w:eastAsia="Times New Roman" w:hAnsi="Times New Roman" w:cs="Times New Roman"/>
          <w:sz w:val="24"/>
          <w:szCs w:val="24"/>
        </w:rPr>
        <w:t>217,0</w:t>
      </w:r>
      <w:r w:rsidRPr="00122CE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766D6" w:rsidRPr="00122CE5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D75CF3" w:rsidRPr="00122CE5">
        <w:rPr>
          <w:rFonts w:ascii="Times New Roman" w:eastAsia="Times New Roman" w:hAnsi="Times New Roman" w:cs="Times New Roman"/>
          <w:sz w:val="24"/>
          <w:szCs w:val="24"/>
        </w:rPr>
        <w:t>12,0</w:t>
      </w:r>
      <w:r w:rsidR="000766D6" w:rsidRPr="00122CE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22CE5">
        <w:rPr>
          <w:rFonts w:ascii="Times New Roman" w:eastAsia="Times New Roman" w:hAnsi="Times New Roman" w:cs="Times New Roman"/>
          <w:sz w:val="24"/>
          <w:szCs w:val="24"/>
        </w:rPr>
        <w:t xml:space="preserve">. Темп роста налоговых доходов к предшествующему году </w:t>
      </w:r>
      <w:r w:rsidR="00D75CF3" w:rsidRPr="00122CE5">
        <w:rPr>
          <w:rFonts w:ascii="Times New Roman" w:eastAsia="Times New Roman" w:hAnsi="Times New Roman" w:cs="Times New Roman"/>
          <w:sz w:val="24"/>
          <w:szCs w:val="24"/>
        </w:rPr>
        <w:t xml:space="preserve">плановом периоде </w:t>
      </w:r>
      <w:r w:rsidRPr="0012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CF3" w:rsidRPr="00122CE5">
        <w:rPr>
          <w:rFonts w:ascii="Times New Roman" w:eastAsia="Times New Roman" w:hAnsi="Times New Roman" w:cs="Times New Roman"/>
          <w:sz w:val="24"/>
          <w:szCs w:val="24"/>
        </w:rPr>
        <w:t xml:space="preserve">2022-2023 </w:t>
      </w:r>
      <w:proofErr w:type="spellStart"/>
      <w:r w:rsidR="00D75CF3" w:rsidRPr="00122CE5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D75CF3" w:rsidRPr="00122C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2CE5">
        <w:rPr>
          <w:rFonts w:ascii="Times New Roman" w:eastAsia="Times New Roman" w:hAnsi="Times New Roman" w:cs="Times New Roman"/>
          <w:sz w:val="24"/>
          <w:szCs w:val="24"/>
        </w:rPr>
        <w:t xml:space="preserve">прогнозируется в размере </w:t>
      </w:r>
      <w:r w:rsidR="00D75CF3" w:rsidRPr="00122CE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766D6" w:rsidRPr="0012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CF3" w:rsidRPr="00122CE5">
        <w:rPr>
          <w:rFonts w:ascii="Times New Roman" w:eastAsia="Times New Roman" w:hAnsi="Times New Roman" w:cs="Times New Roman"/>
          <w:sz w:val="24"/>
          <w:szCs w:val="24"/>
        </w:rPr>
        <w:t>99,6% и 99,8% соответственно.</w:t>
      </w:r>
    </w:p>
    <w:p w:rsidR="00FA0A73" w:rsidRPr="00122CE5" w:rsidRDefault="00FA0A73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E5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</w:t>
      </w:r>
      <w:r w:rsidR="001E0EFA" w:rsidRPr="00122CE5">
        <w:rPr>
          <w:rFonts w:ascii="Times New Roman" w:eastAsia="Times New Roman" w:hAnsi="Times New Roman" w:cs="Times New Roman"/>
          <w:sz w:val="24"/>
          <w:szCs w:val="24"/>
        </w:rPr>
        <w:t xml:space="preserve">в 2021 году </w:t>
      </w:r>
      <w:r w:rsidRPr="00122CE5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занимает земельный налог </w:t>
      </w:r>
      <w:r w:rsidR="001E0EFA" w:rsidRPr="00122CE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EFA" w:rsidRPr="00122CE5">
        <w:rPr>
          <w:rFonts w:ascii="Times New Roman" w:eastAsia="Times New Roman" w:hAnsi="Times New Roman" w:cs="Times New Roman"/>
          <w:sz w:val="24"/>
          <w:szCs w:val="24"/>
        </w:rPr>
        <w:t>83,5</w:t>
      </w:r>
      <w:r w:rsidRPr="00122CE5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1E0EFA" w:rsidRPr="00122CE5">
        <w:rPr>
          <w:rFonts w:ascii="Times New Roman" w:eastAsia="Times New Roman" w:hAnsi="Times New Roman" w:cs="Times New Roman"/>
          <w:sz w:val="24"/>
          <w:szCs w:val="24"/>
        </w:rPr>
        <w:t>10,9</w:t>
      </w:r>
      <w:r w:rsidRPr="00122CE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2758" w:rsidRPr="0057233D" w:rsidRDefault="00B92758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CE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Прогнозируемое поступление налоговых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233D"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неналоговых 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бюджета в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D0F7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 w:rsidR="0057233D"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D0F7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57233D"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D0F7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D0F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4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09"/>
        <w:gridCol w:w="709"/>
        <w:gridCol w:w="567"/>
        <w:gridCol w:w="785"/>
        <w:gridCol w:w="774"/>
        <w:gridCol w:w="708"/>
        <w:gridCol w:w="709"/>
        <w:gridCol w:w="709"/>
        <w:gridCol w:w="643"/>
        <w:gridCol w:w="708"/>
        <w:gridCol w:w="709"/>
      </w:tblGrid>
      <w:tr w:rsidR="00B465F5" w:rsidRPr="001223F6" w:rsidTr="008B29F1">
        <w:trPr>
          <w:trHeight w:val="58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FD0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FD0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0D3D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D3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D0E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0D3D0E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465F5" w:rsidRPr="001223F6" w:rsidRDefault="00B465F5" w:rsidP="000D3D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D3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D0E" w:rsidRDefault="00B465F5" w:rsidP="00B465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B465F5" w:rsidRPr="001223F6" w:rsidRDefault="00B465F5" w:rsidP="000D3D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D3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B465F5" w:rsidRPr="001223F6" w:rsidTr="008B29F1">
        <w:trPr>
          <w:trHeight w:val="25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D1411E" w:rsidRPr="001223F6" w:rsidTr="008B29F1">
        <w:trPr>
          <w:trHeight w:val="67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1E" w:rsidRPr="001223F6" w:rsidRDefault="00D1411E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1E" w:rsidRPr="001223F6" w:rsidRDefault="00D1411E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1E" w:rsidRPr="001223F6" w:rsidRDefault="00D1411E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1411E" w:rsidRPr="001223F6" w:rsidRDefault="00D1411E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1E" w:rsidRPr="001223F6" w:rsidRDefault="00D1411E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1E" w:rsidRPr="001223F6" w:rsidRDefault="00D1411E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1E" w:rsidRPr="001223F6" w:rsidRDefault="00D1411E" w:rsidP="006C13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1E" w:rsidRPr="001223F6" w:rsidRDefault="00D1411E" w:rsidP="006C13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1E" w:rsidRPr="001223F6" w:rsidRDefault="00D1411E" w:rsidP="006C13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1E" w:rsidRPr="001223F6" w:rsidRDefault="00D1411E" w:rsidP="00FD0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1E" w:rsidRPr="001223F6" w:rsidRDefault="00D1411E" w:rsidP="00FD0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1E" w:rsidRPr="001223F6" w:rsidRDefault="00D1411E" w:rsidP="00FD0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</w:tr>
      <w:tr w:rsidR="008B29F1" w:rsidRPr="001223F6" w:rsidTr="008B29F1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F1" w:rsidRPr="001223F6" w:rsidRDefault="008B29F1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1582,0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-19,0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98,8</w:t>
            </w:r>
          </w:p>
        </w:tc>
      </w:tr>
      <w:tr w:rsidR="008B29F1" w:rsidRPr="001223F6" w:rsidTr="008B29F1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F1" w:rsidRPr="001223F6" w:rsidRDefault="008B29F1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105,7</w:t>
            </w:r>
          </w:p>
        </w:tc>
      </w:tr>
      <w:tr w:rsidR="008B29F1" w:rsidRPr="001223F6" w:rsidTr="008B29F1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F1" w:rsidRPr="001223F6" w:rsidRDefault="008B29F1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8B29F1" w:rsidRPr="001223F6" w:rsidRDefault="008B29F1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B29F1" w:rsidRPr="001223F6" w:rsidTr="008B29F1">
        <w:trPr>
          <w:trHeight w:val="2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F1" w:rsidRPr="001223F6" w:rsidRDefault="008B29F1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101,1</w:t>
            </w:r>
          </w:p>
        </w:tc>
      </w:tr>
      <w:tr w:rsidR="008B29F1" w:rsidRPr="001223F6" w:rsidTr="008B29F1">
        <w:trPr>
          <w:trHeight w:val="5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F1" w:rsidRPr="001223F6" w:rsidRDefault="008B29F1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</w:t>
            </w:r>
          </w:p>
        </w:tc>
      </w:tr>
      <w:tr w:rsidR="008B29F1" w:rsidRPr="001223F6" w:rsidTr="008B29F1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F1" w:rsidRPr="001223F6" w:rsidRDefault="008B29F1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B29F1" w:rsidRPr="001223F6" w:rsidTr="008B29F1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1" w:rsidRPr="001223F6" w:rsidRDefault="008B29F1" w:rsidP="00687C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B29F1" w:rsidRPr="001223F6" w:rsidTr="008B29F1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1" w:rsidRPr="001223F6" w:rsidRDefault="008B29F1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B29F1" w:rsidRPr="001223F6" w:rsidTr="008B29F1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1" w:rsidRPr="001223F6" w:rsidRDefault="008B29F1" w:rsidP="003F11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</w:t>
            </w: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B29F1" w:rsidRPr="001223F6" w:rsidTr="008B29F1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1" w:rsidRPr="001223F6" w:rsidRDefault="008B29F1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B29F1" w:rsidRPr="001223F6" w:rsidTr="008B29F1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1" w:rsidRPr="001223F6" w:rsidRDefault="008B29F1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9F1" w:rsidRPr="008B29F1" w:rsidRDefault="008B29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A0709F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2C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122CE5">
        <w:rPr>
          <w:rFonts w:ascii="Times New Roman" w:eastAsia="Times New Roman" w:hAnsi="Times New Roman" w:cs="Times New Roman"/>
          <w:sz w:val="24"/>
          <w:szCs w:val="24"/>
        </w:rPr>
        <w:t>89,0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122CE5">
        <w:rPr>
          <w:rFonts w:ascii="Times New Roman" w:eastAsia="Times New Roman" w:hAnsi="Times New Roman" w:cs="Times New Roman"/>
          <w:sz w:val="24"/>
          <w:szCs w:val="24"/>
        </w:rPr>
        <w:t xml:space="preserve">16,0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122CE5">
        <w:rPr>
          <w:rFonts w:ascii="Times New Roman" w:eastAsia="Times New Roman" w:hAnsi="Times New Roman" w:cs="Times New Roman"/>
          <w:sz w:val="24"/>
          <w:szCs w:val="24"/>
        </w:rPr>
        <w:t>15,2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22CE5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806163"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22CE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а. Расчет доходов бюджета по налогу на доходы физических лиц произведен исходя из ожидаемой оценки поступления налога в 20</w:t>
      </w:r>
      <w:r w:rsidR="00122CE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1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2C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DE2A44">
        <w:rPr>
          <w:rFonts w:ascii="Times New Roman" w:eastAsia="Times New Roman" w:hAnsi="Times New Roman" w:cs="Times New Roman"/>
          <w:sz w:val="24"/>
          <w:szCs w:val="24"/>
        </w:rPr>
        <w:t>5,</w:t>
      </w:r>
      <w:r w:rsidR="00122CE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доходы физических лиц в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2C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22CE5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122CE5">
        <w:rPr>
          <w:rFonts w:ascii="Times New Roman" w:eastAsia="Times New Roman" w:hAnsi="Times New Roman" w:cs="Times New Roman"/>
          <w:sz w:val="24"/>
          <w:szCs w:val="24"/>
        </w:rPr>
        <w:t>119,1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F671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1A18">
        <w:rPr>
          <w:rFonts w:ascii="Times New Roman" w:eastAsia="Times New Roman" w:hAnsi="Times New Roman" w:cs="Times New Roman"/>
          <w:sz w:val="24"/>
          <w:szCs w:val="24"/>
        </w:rPr>
        <w:t>5,</w:t>
      </w:r>
      <w:r w:rsidR="00122CE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2758" w:rsidRPr="00A0709F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31B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AD77FB">
        <w:rPr>
          <w:rFonts w:ascii="Times New Roman" w:eastAsia="Times New Roman" w:hAnsi="Times New Roman" w:cs="Times New Roman"/>
          <w:sz w:val="24"/>
          <w:szCs w:val="24"/>
        </w:rPr>
        <w:t>173,0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656AE5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31BE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AD77FB">
        <w:rPr>
          <w:rFonts w:ascii="Times New Roman" w:eastAsia="Times New Roman" w:hAnsi="Times New Roman" w:cs="Times New Roman"/>
          <w:sz w:val="24"/>
          <w:szCs w:val="24"/>
        </w:rPr>
        <w:t>26,9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656A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D77FB">
        <w:rPr>
          <w:rFonts w:ascii="Times New Roman" w:eastAsia="Times New Roman" w:hAnsi="Times New Roman" w:cs="Times New Roman"/>
          <w:sz w:val="24"/>
          <w:szCs w:val="24"/>
        </w:rPr>
        <w:t>13,5</w:t>
      </w:r>
      <w:r w:rsidR="00656AE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2019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EC7D0F">
        <w:rPr>
          <w:rFonts w:ascii="Times New Roman" w:eastAsia="Times New Roman" w:hAnsi="Times New Roman" w:cs="Times New Roman"/>
          <w:sz w:val="24"/>
          <w:szCs w:val="24"/>
        </w:rPr>
        <w:t>10,9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имущество физических лиц в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31B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31B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656A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1BE7">
        <w:rPr>
          <w:rFonts w:ascii="Times New Roman" w:eastAsia="Times New Roman" w:hAnsi="Times New Roman" w:cs="Times New Roman"/>
          <w:sz w:val="24"/>
          <w:szCs w:val="24"/>
        </w:rPr>
        <w:t>04,0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 10</w:t>
      </w:r>
      <w:r w:rsidR="00431BE7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2758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92B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  </w:t>
      </w:r>
      <w:r w:rsidR="00592BC9">
        <w:rPr>
          <w:rFonts w:ascii="Times New Roman" w:eastAsia="Times New Roman" w:hAnsi="Times New Roman" w:cs="Times New Roman"/>
          <w:sz w:val="24"/>
          <w:szCs w:val="24"/>
        </w:rPr>
        <w:t>1326,0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592BC9">
        <w:rPr>
          <w:rFonts w:ascii="Times New Roman" w:eastAsia="Times New Roman" w:hAnsi="Times New Roman" w:cs="Times New Roman"/>
          <w:sz w:val="24"/>
          <w:szCs w:val="24"/>
        </w:rPr>
        <w:t>174,0</w:t>
      </w:r>
      <w:r w:rsidR="0038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592BC9">
        <w:rPr>
          <w:rFonts w:ascii="Times New Roman" w:eastAsia="Times New Roman" w:hAnsi="Times New Roman" w:cs="Times New Roman"/>
          <w:sz w:val="24"/>
          <w:szCs w:val="24"/>
        </w:rPr>
        <w:t>11,6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92BC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2BC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331F8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92BC9">
        <w:rPr>
          <w:rFonts w:ascii="Times New Roman" w:eastAsia="Times New Roman" w:hAnsi="Times New Roman" w:cs="Times New Roman"/>
          <w:sz w:val="24"/>
          <w:szCs w:val="24"/>
        </w:rPr>
        <w:t>3,5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в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92B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92B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592BC9">
        <w:rPr>
          <w:rFonts w:ascii="Times New Roman" w:eastAsia="Times New Roman" w:hAnsi="Times New Roman" w:cs="Times New Roman"/>
          <w:sz w:val="24"/>
          <w:szCs w:val="24"/>
        </w:rPr>
        <w:t>97,7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92BC9">
        <w:rPr>
          <w:rFonts w:ascii="Times New Roman" w:eastAsia="Times New Roman" w:hAnsi="Times New Roman" w:cs="Times New Roman"/>
          <w:sz w:val="24"/>
          <w:szCs w:val="24"/>
        </w:rPr>
        <w:t>97,9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192A00" w:rsidRDefault="00192A00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5D2" w:rsidRPr="006245D2"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245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245D2" w:rsidRPr="006245D2">
        <w:rPr>
          <w:rFonts w:ascii="Times New Roman" w:eastAsia="Times New Roman" w:hAnsi="Times New Roman" w:cs="Times New Roman"/>
          <w:sz w:val="24"/>
          <w:szCs w:val="24"/>
        </w:rPr>
        <w:t>данного источника не планируется.</w:t>
      </w:r>
    </w:p>
    <w:p w:rsidR="00B92758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F81"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245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92A00">
        <w:rPr>
          <w:rFonts w:ascii="Times New Roman" w:eastAsia="Times New Roman" w:hAnsi="Times New Roman" w:cs="Times New Roman"/>
          <w:sz w:val="24"/>
          <w:szCs w:val="24"/>
        </w:rPr>
        <w:t xml:space="preserve">данного источника </w:t>
      </w:r>
      <w:r w:rsidR="00331F81">
        <w:rPr>
          <w:rFonts w:ascii="Times New Roman" w:eastAsia="Times New Roman" w:hAnsi="Times New Roman" w:cs="Times New Roman"/>
          <w:sz w:val="24"/>
          <w:szCs w:val="24"/>
        </w:rPr>
        <w:t>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A0709F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630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363084">
        <w:rPr>
          <w:rFonts w:ascii="Times New Roman" w:eastAsia="Times New Roman" w:hAnsi="Times New Roman" w:cs="Times New Roman"/>
          <w:sz w:val="24"/>
          <w:szCs w:val="24"/>
        </w:rPr>
        <w:t>51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363084">
        <w:rPr>
          <w:rFonts w:ascii="Times New Roman" w:eastAsia="Times New Roman" w:hAnsi="Times New Roman" w:cs="Times New Roman"/>
          <w:sz w:val="24"/>
          <w:szCs w:val="24"/>
        </w:rPr>
        <w:t>17,0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63084">
        <w:rPr>
          <w:rFonts w:ascii="Times New Roman" w:eastAsia="Times New Roman" w:hAnsi="Times New Roman" w:cs="Times New Roman"/>
          <w:sz w:val="24"/>
          <w:szCs w:val="24"/>
        </w:rPr>
        <w:t>25,0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% меньше ожидаемого исполнения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6308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25399D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CD42DE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363084">
        <w:rPr>
          <w:rFonts w:ascii="Times New Roman" w:eastAsia="Times New Roman" w:hAnsi="Times New Roman" w:cs="Times New Roman"/>
          <w:sz w:val="24"/>
          <w:szCs w:val="24"/>
        </w:rPr>
        <w:t>3,2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5399D" w:rsidRPr="00A0709F" w:rsidRDefault="0025399D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 w:rsidR="00E00D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770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планируются в сумме 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A770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CA7708">
        <w:rPr>
          <w:rFonts w:ascii="Times New Roman" w:eastAsia="Times New Roman" w:hAnsi="Times New Roman" w:cs="Times New Roman"/>
          <w:sz w:val="24"/>
          <w:szCs w:val="24"/>
        </w:rPr>
        <w:t>что на 17,0 тыс. рублей, или 25,0% меньше ожидаемого исполнения 2020 года.</w:t>
      </w:r>
      <w:r w:rsidR="00CA7708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Темп роста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77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A77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ах к предыдущему году составляет 10</w:t>
      </w:r>
      <w:r w:rsidR="00CA77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,0% и 100,0% соответственно.  </w:t>
      </w:r>
    </w:p>
    <w:p w:rsidR="00B113BF" w:rsidRDefault="0025399D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 w:rsidR="00CD42DE"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="00A0709F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3BF" w:rsidRPr="00B113BF">
        <w:rPr>
          <w:rFonts w:ascii="Times New Roman" w:eastAsia="Times New Roman" w:hAnsi="Times New Roman" w:cs="Times New Roman"/>
          <w:sz w:val="24"/>
          <w:szCs w:val="24"/>
        </w:rPr>
        <w:t xml:space="preserve">поступлений от данного источника не планируется. </w:t>
      </w:r>
    </w:p>
    <w:p w:rsidR="00804D97" w:rsidRDefault="00804D9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3BF" w:rsidRPr="00B113BF">
        <w:rPr>
          <w:rFonts w:ascii="Times New Roman" w:eastAsia="Times New Roman" w:hAnsi="Times New Roman" w:cs="Times New Roman"/>
          <w:sz w:val="24"/>
          <w:szCs w:val="24"/>
        </w:rPr>
        <w:t>поступлений от данного источника не планируется.</w:t>
      </w:r>
    </w:p>
    <w:p w:rsidR="005D0EAE" w:rsidRDefault="005D0EAE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DBF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1F4DB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11941" w:rsidRPr="001F4DB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0E24" w:rsidRPr="001F4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1F4DB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F4DBF">
        <w:rPr>
          <w:rFonts w:ascii="Times New Roman" w:eastAsia="Times New Roman" w:hAnsi="Times New Roman" w:cs="Times New Roman"/>
          <w:sz w:val="24"/>
          <w:szCs w:val="24"/>
        </w:rPr>
        <w:t xml:space="preserve">у планируются в сумме </w:t>
      </w:r>
      <w:r w:rsidR="00820E24" w:rsidRPr="001F4DBF">
        <w:rPr>
          <w:rFonts w:ascii="Times New Roman" w:eastAsia="Times New Roman" w:hAnsi="Times New Roman" w:cs="Times New Roman"/>
          <w:sz w:val="24"/>
          <w:szCs w:val="24"/>
        </w:rPr>
        <w:t>1325,8</w:t>
      </w:r>
      <w:r w:rsidRPr="001F4DB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A689A" w:rsidRPr="001F4DBF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462A13" w:rsidRPr="001F4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BF">
        <w:rPr>
          <w:rFonts w:ascii="Times New Roman" w:eastAsia="Times New Roman" w:hAnsi="Times New Roman" w:cs="Times New Roman"/>
          <w:sz w:val="24"/>
          <w:szCs w:val="24"/>
        </w:rPr>
        <w:t xml:space="preserve">ожидаемого уровня исполнения бюджета </w:t>
      </w:r>
      <w:r w:rsidR="00F11941" w:rsidRPr="001F4DB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20E24" w:rsidRPr="001F4DB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 w:rsidRPr="001F4DB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F4DB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20E24" w:rsidRPr="001F4DBF">
        <w:rPr>
          <w:rFonts w:ascii="Times New Roman" w:eastAsia="Times New Roman" w:hAnsi="Times New Roman" w:cs="Times New Roman"/>
          <w:sz w:val="24"/>
          <w:szCs w:val="24"/>
        </w:rPr>
        <w:t>443,9</w:t>
      </w:r>
      <w:r w:rsidRPr="001F4DBF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2A689A" w:rsidRPr="001F4D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20E24" w:rsidRPr="001F4DBF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2A689A" w:rsidRPr="001F4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89A" w:rsidRPr="001F4DBF">
        <w:rPr>
          <w:rFonts w:ascii="Times New Roman" w:eastAsia="Times New Roman" w:hAnsi="Times New Roman" w:cs="Times New Roman"/>
          <w:sz w:val="24"/>
          <w:szCs w:val="24"/>
        </w:rPr>
        <w:lastRenderedPageBreak/>
        <w:t>раза.</w:t>
      </w:r>
      <w:r w:rsidRPr="001F4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4DBF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F11941" w:rsidRPr="001F4DB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0E24" w:rsidRPr="001F4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1F4DB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F4DB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F4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4DBF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820E24" w:rsidRPr="001F4DBF">
        <w:rPr>
          <w:rFonts w:ascii="Times New Roman" w:eastAsia="Times New Roman" w:hAnsi="Times New Roman" w:cs="Times New Roman"/>
          <w:sz w:val="24"/>
          <w:szCs w:val="24"/>
        </w:rPr>
        <w:t>44,7</w:t>
      </w:r>
      <w:r w:rsidRPr="001F4DBF">
        <w:rPr>
          <w:rFonts w:ascii="Times New Roman" w:eastAsia="Times New Roman" w:hAnsi="Times New Roman" w:cs="Times New Roman"/>
          <w:sz w:val="24"/>
          <w:szCs w:val="24"/>
        </w:rPr>
        <w:t>%. Темп роста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в 20</w:t>
      </w:r>
      <w:r w:rsidR="00820E2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0E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2A689A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820E2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 100,</w:t>
      </w:r>
      <w:r w:rsidR="00820E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2758" w:rsidRPr="00DB38E6" w:rsidRDefault="00B92758" w:rsidP="00A901E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2758" w:rsidRPr="00DB38E6" w:rsidRDefault="00B92758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C68D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 w:rsidR="0086208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68D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DB38E6"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68D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72A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45"/>
        <w:gridCol w:w="633"/>
        <w:gridCol w:w="633"/>
        <w:gridCol w:w="633"/>
        <w:gridCol w:w="633"/>
        <w:gridCol w:w="709"/>
        <w:gridCol w:w="567"/>
        <w:gridCol w:w="567"/>
        <w:gridCol w:w="692"/>
        <w:gridCol w:w="708"/>
        <w:gridCol w:w="709"/>
      </w:tblGrid>
      <w:tr w:rsidR="00804D97" w:rsidRPr="00967271" w:rsidTr="00F72A27">
        <w:trPr>
          <w:trHeight w:val="58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5843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84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5843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84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5843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84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5843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84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804D97" w:rsidRPr="00967271" w:rsidTr="00F72A27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584376" w:rsidRPr="00967271" w:rsidTr="00F72A27">
        <w:trPr>
          <w:trHeight w:val="67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376" w:rsidRPr="00967271" w:rsidRDefault="00584376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376" w:rsidRPr="00967271" w:rsidRDefault="00584376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376" w:rsidRPr="00967271" w:rsidRDefault="00584376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584376" w:rsidRPr="00967271" w:rsidRDefault="00584376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376" w:rsidRPr="00967271" w:rsidRDefault="00584376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376" w:rsidRPr="00967271" w:rsidRDefault="00584376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76" w:rsidRPr="00967271" w:rsidRDefault="00584376" w:rsidP="006C13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76" w:rsidRPr="00967271" w:rsidRDefault="00584376" w:rsidP="006C13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76" w:rsidRPr="00967271" w:rsidRDefault="00584376" w:rsidP="006C13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76" w:rsidRPr="00967271" w:rsidRDefault="00584376" w:rsidP="005843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76" w:rsidRPr="00967271" w:rsidRDefault="00584376" w:rsidP="005843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76" w:rsidRPr="00967271" w:rsidRDefault="00584376" w:rsidP="005843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6708E7" w:rsidRPr="00967271" w:rsidTr="00F44C1D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E7" w:rsidRPr="00967271" w:rsidRDefault="006708E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881,9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1325,8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1325,7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100,1</w:t>
            </w:r>
          </w:p>
        </w:tc>
      </w:tr>
      <w:tr w:rsidR="006708E7" w:rsidRPr="00967271" w:rsidTr="00F44C1D">
        <w:trPr>
          <w:trHeight w:val="5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E7" w:rsidRPr="004133FC" w:rsidRDefault="006708E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1237,0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1236,0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6708E7" w:rsidRPr="00967271" w:rsidTr="00F44C1D">
        <w:trPr>
          <w:trHeight w:val="7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E7" w:rsidRPr="004133FC" w:rsidRDefault="006708E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708E7" w:rsidRPr="00967271" w:rsidTr="00F44C1D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E7" w:rsidRPr="004133FC" w:rsidRDefault="006708E7" w:rsidP="00175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8E7" w:rsidRPr="006708E7" w:rsidRDefault="006708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</w:tr>
    </w:tbl>
    <w:p w:rsidR="00F6532E" w:rsidRPr="0084106A" w:rsidRDefault="00F6532E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4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</w:t>
      </w:r>
      <w:r w:rsidR="001A5B3D">
        <w:rPr>
          <w:rFonts w:ascii="Times New Roman" w:eastAsia="Times New Roman" w:hAnsi="Times New Roman" w:cs="Times New Roman"/>
          <w:sz w:val="24"/>
          <w:szCs w:val="24"/>
        </w:rPr>
        <w:t>дотации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бюджетам субъектов РФ и муниципальных образований – </w:t>
      </w:r>
      <w:r w:rsidR="001F4DBF">
        <w:rPr>
          <w:rFonts w:ascii="Times New Roman" w:eastAsia="Times New Roman" w:hAnsi="Times New Roman" w:cs="Times New Roman"/>
          <w:sz w:val="24"/>
          <w:szCs w:val="24"/>
        </w:rPr>
        <w:t>93,3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7F46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в бюджете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4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="001F4DBF">
        <w:rPr>
          <w:rFonts w:ascii="Times New Roman" w:eastAsia="Times New Roman" w:hAnsi="Times New Roman" w:cs="Times New Roman"/>
          <w:sz w:val="24"/>
          <w:szCs w:val="24"/>
        </w:rPr>
        <w:t>1237,0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A689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F4DB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F4DBF">
        <w:rPr>
          <w:rFonts w:ascii="Times New Roman" w:eastAsia="Times New Roman" w:hAnsi="Times New Roman" w:cs="Times New Roman"/>
          <w:sz w:val="24"/>
          <w:szCs w:val="24"/>
        </w:rPr>
        <w:t>444,0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2A68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BF">
        <w:rPr>
          <w:rFonts w:ascii="Times New Roman" w:eastAsia="Times New Roman" w:hAnsi="Times New Roman" w:cs="Times New Roman"/>
          <w:sz w:val="24"/>
          <w:szCs w:val="24"/>
        </w:rPr>
        <w:t>1,6</w:t>
      </w:r>
      <w:r w:rsidR="002A689A">
        <w:rPr>
          <w:rFonts w:ascii="Times New Roman" w:eastAsia="Times New Roman" w:hAnsi="Times New Roman" w:cs="Times New Roman"/>
          <w:sz w:val="24"/>
          <w:szCs w:val="24"/>
        </w:rPr>
        <w:t xml:space="preserve"> раза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Темп роста дотаций в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4D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4D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1F4DBF">
        <w:rPr>
          <w:rFonts w:ascii="Times New Roman" w:eastAsia="Times New Roman" w:hAnsi="Times New Roman" w:cs="Times New Roman"/>
          <w:sz w:val="24"/>
          <w:szCs w:val="24"/>
        </w:rPr>
        <w:t>99,9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1F4DBF"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F6532E" w:rsidRPr="0084106A" w:rsidRDefault="00F6532E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532E" w:rsidRDefault="00F6532E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1F4DBF">
        <w:rPr>
          <w:rFonts w:ascii="Times New Roman" w:eastAsia="Times New Roman" w:hAnsi="Times New Roman" w:cs="Times New Roman"/>
          <w:sz w:val="24"/>
          <w:szCs w:val="24"/>
        </w:rPr>
        <w:t>174,0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74FBB" w:rsidRPr="0084106A" w:rsidRDefault="00874FBB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обеспечение мер по сбалансированности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1F4DBF">
        <w:rPr>
          <w:rFonts w:ascii="Times New Roman" w:eastAsia="Times New Roman" w:hAnsi="Times New Roman" w:cs="Times New Roman"/>
          <w:sz w:val="24"/>
          <w:szCs w:val="24"/>
        </w:rPr>
        <w:t>1063,0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32E" w:rsidRPr="0084106A" w:rsidRDefault="00F6532E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>88,8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>примерно соответствует о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жидаемо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субвенций в структуре безвозмездных поступлений составляет 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субвенций в 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 xml:space="preserve">плановом  периоде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к предыдущему году составляет 10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% и 10</w:t>
      </w:r>
      <w:r w:rsidR="002A689A">
        <w:rPr>
          <w:rFonts w:ascii="Times New Roman" w:eastAsia="Times New Roman" w:hAnsi="Times New Roman" w:cs="Times New Roman"/>
          <w:sz w:val="24"/>
          <w:szCs w:val="24"/>
        </w:rPr>
        <w:t>3,8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B92758" w:rsidRPr="00F56702" w:rsidRDefault="00B92758" w:rsidP="00A901EC">
      <w:pPr>
        <w:shd w:val="clear" w:color="auto" w:fill="FFFFFF"/>
        <w:spacing w:after="0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70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B92758" w:rsidRPr="00F56702" w:rsidRDefault="00B92758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02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1A7D01" w:rsidRPr="00F567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11941" w:rsidRPr="00F5670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42217" w:rsidRPr="00F567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F5670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A7D01" w:rsidRPr="00F567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 w:rsidR="00742217" w:rsidRPr="00F567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7D01" w:rsidRPr="00F567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1941" w:rsidRPr="00F5670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42217" w:rsidRPr="00F567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 w:rsidRPr="00F5670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A7D01" w:rsidRPr="00F5670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56702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742217" w:rsidRPr="00F56702">
        <w:rPr>
          <w:rFonts w:ascii="Times New Roman" w:eastAsia="Times New Roman" w:hAnsi="Times New Roman" w:cs="Times New Roman"/>
          <w:sz w:val="24"/>
          <w:szCs w:val="24"/>
        </w:rPr>
        <w:t>2964,8</w:t>
      </w:r>
      <w:r w:rsidRPr="00F5670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2975" w:rsidRPr="00F567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2217" w:rsidRPr="00F56702">
        <w:rPr>
          <w:rFonts w:ascii="Times New Roman" w:eastAsia="Times New Roman" w:hAnsi="Times New Roman" w:cs="Times New Roman"/>
          <w:sz w:val="24"/>
          <w:szCs w:val="24"/>
        </w:rPr>
        <w:t>2958,7</w:t>
      </w:r>
      <w:r w:rsidR="005D2975" w:rsidRPr="00F5670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742217" w:rsidRPr="00F56702">
        <w:rPr>
          <w:rFonts w:ascii="Times New Roman" w:eastAsia="Times New Roman" w:hAnsi="Times New Roman" w:cs="Times New Roman"/>
          <w:sz w:val="24"/>
          <w:szCs w:val="24"/>
        </w:rPr>
        <w:t>2941,1</w:t>
      </w:r>
      <w:r w:rsidR="005D2975" w:rsidRPr="00F5670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соответственно.</w:t>
      </w:r>
      <w:r w:rsidRPr="00F56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758" w:rsidRPr="00C94F5C" w:rsidRDefault="00B92758" w:rsidP="00B9275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C94F5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бюджета поселения за 20</w:t>
      </w:r>
      <w:r w:rsidR="00452E4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C94F5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52E4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92758" w:rsidRDefault="00B92758" w:rsidP="00B92758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452E4A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3843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9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F62727" w:rsidRPr="00632F94" w:rsidTr="00A9465F">
        <w:trPr>
          <w:trHeight w:val="99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F62727" w:rsidRPr="00632F94" w:rsidRDefault="00F62727" w:rsidP="00E14E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E14E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E14E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E14E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E14E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E14E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E14E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E14E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F62727" w:rsidRPr="00632F94" w:rsidTr="00A9465F">
        <w:trPr>
          <w:trHeight w:val="6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602AB" w:rsidRPr="00632F94" w:rsidTr="00A9465F">
        <w:trPr>
          <w:trHeight w:val="45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2025,5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1996,2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1996,2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1996,2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F602AB" w:rsidRPr="00632F94" w:rsidTr="00A9465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F602AB" w:rsidRPr="00632F94" w:rsidTr="00A9465F">
        <w:trPr>
          <w:trHeight w:val="6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793,5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480,8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223,4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223,4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</w:tr>
      <w:tr w:rsidR="00F602AB" w:rsidRPr="00632F94" w:rsidTr="00A9465F">
        <w:trPr>
          <w:trHeight w:val="25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F602AB" w:rsidRPr="00632F94" w:rsidTr="00A9465F">
        <w:trPr>
          <w:trHeight w:val="4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374,4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</w:tr>
      <w:tr w:rsidR="00F602AB" w:rsidRPr="00632F94" w:rsidTr="00A9465F">
        <w:trPr>
          <w:trHeight w:val="26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F602AB" w:rsidRPr="00632F94" w:rsidTr="00A9465F">
        <w:trPr>
          <w:trHeight w:val="26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AB" w:rsidRPr="00632F94" w:rsidRDefault="00F602AB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AB" w:rsidRPr="00632F94" w:rsidRDefault="00F602AB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F602AB" w:rsidRPr="00632F94" w:rsidTr="00A9465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632F94" w:rsidRDefault="00F602AB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b/>
                <w:sz w:val="16"/>
                <w:szCs w:val="16"/>
              </w:rPr>
              <w:t>3330,2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b/>
                <w:sz w:val="16"/>
                <w:szCs w:val="16"/>
              </w:rPr>
              <w:t>2964,8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b/>
                <w:sz w:val="16"/>
                <w:szCs w:val="16"/>
              </w:rPr>
              <w:t>2958,7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b/>
                <w:sz w:val="16"/>
                <w:szCs w:val="16"/>
              </w:rPr>
              <w:t>2941,1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AB" w:rsidRPr="00C26992" w:rsidRDefault="00F602AB" w:rsidP="009402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992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</w:tbl>
    <w:p w:rsidR="00BB02F9" w:rsidRPr="003A33C7" w:rsidRDefault="00BB02F9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2F172A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ов являются 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расходы ра</w:t>
      </w:r>
      <w:r w:rsidR="000976C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дела 01 «О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бщегосударственные вопросы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67,3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%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67,5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67,9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расходов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Второй по </w:t>
      </w:r>
      <w:r w:rsidR="007D3850">
        <w:rPr>
          <w:rFonts w:ascii="Times New Roman" w:eastAsia="Times New Roman" w:hAnsi="Times New Roman" w:cs="Times New Roman"/>
          <w:sz w:val="24"/>
          <w:szCs w:val="24"/>
        </w:rPr>
        <w:t xml:space="preserve">объему расходов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раздел 03 «НАЦИОНАЛЬНАЯ БЕЗОПАСНОСТЬ И ПРАВООХРАНИТЕЛЬНАЯ ДЕЯТЕЛЬНОСТЬ» и 05 «ЖИЛИЩНО-КОММУНАЛЬНОЕ ХОЗЯЙСТВО» </w:t>
      </w:r>
      <w:r w:rsidR="007D3850">
        <w:rPr>
          <w:rFonts w:ascii="Times New Roman" w:eastAsia="Times New Roman" w:hAnsi="Times New Roman" w:cs="Times New Roman"/>
          <w:sz w:val="24"/>
          <w:szCs w:val="24"/>
        </w:rPr>
        <w:t>16,2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7D3850">
        <w:rPr>
          <w:rFonts w:ascii="Times New Roman" w:eastAsia="Times New Roman" w:hAnsi="Times New Roman" w:cs="Times New Roman"/>
          <w:sz w:val="24"/>
          <w:szCs w:val="24"/>
        </w:rPr>
        <w:t>12,0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BB02F9" w:rsidRPr="00281997" w:rsidRDefault="00BB02F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проекте бюджета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занимают расходы по  разделу 0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«НАЦИОНАЛЬНАЯ </w:t>
      </w:r>
      <w:r w:rsidR="0084790C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», объем которых составляет 0,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%. Объем расходов по отраслям так называемого «социального блока» (культура, социальная политика)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D38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D3850">
        <w:rPr>
          <w:rFonts w:ascii="Times New Roman" w:eastAsia="Times New Roman" w:hAnsi="Times New Roman" w:cs="Times New Roman"/>
          <w:sz w:val="24"/>
          <w:szCs w:val="24"/>
        </w:rPr>
        <w:t xml:space="preserve">представлен разделом 10 «Социальная политика» и 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>составляет 1,3% .</w:t>
      </w:r>
    </w:p>
    <w:p w:rsidR="00B92758" w:rsidRPr="00281997" w:rsidRDefault="00B92758" w:rsidP="00B92758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поселения за 20</w:t>
      </w:r>
      <w:r w:rsidR="00E2439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2439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707DD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B92758" w:rsidRPr="00281997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02B9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8"/>
        <w:tblW w:w="9636" w:type="dxa"/>
        <w:tblLayout w:type="fixed"/>
        <w:tblLook w:val="04A0" w:firstRow="1" w:lastRow="0" w:firstColumn="1" w:lastColumn="0" w:noHBand="0" w:noVBand="1"/>
      </w:tblPr>
      <w:tblGrid>
        <w:gridCol w:w="2093"/>
        <w:gridCol w:w="447"/>
        <w:gridCol w:w="752"/>
        <w:gridCol w:w="744"/>
        <w:gridCol w:w="739"/>
        <w:gridCol w:w="820"/>
        <w:gridCol w:w="678"/>
        <w:gridCol w:w="688"/>
        <w:gridCol w:w="588"/>
        <w:gridCol w:w="670"/>
        <w:gridCol w:w="709"/>
        <w:gridCol w:w="708"/>
      </w:tblGrid>
      <w:tr w:rsidR="0062761F" w:rsidRPr="00194ADD" w:rsidTr="00A9465F">
        <w:tc>
          <w:tcPr>
            <w:tcW w:w="2093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62761F" w:rsidRPr="009A6EB7" w:rsidRDefault="0062761F" w:rsidP="009565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  <w:r w:rsidR="009565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9565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9565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820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9565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54" w:type="dxa"/>
            <w:gridSpan w:val="3"/>
          </w:tcPr>
          <w:p w:rsidR="0062761F" w:rsidRPr="009A6EB7" w:rsidRDefault="0062761F" w:rsidP="00EB0D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62761F" w:rsidRPr="00194ADD" w:rsidTr="00A9465F">
        <w:tc>
          <w:tcPr>
            <w:tcW w:w="2093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905D7D" w:rsidRPr="00194ADD" w:rsidTr="00A9465F">
        <w:tc>
          <w:tcPr>
            <w:tcW w:w="2093" w:type="dxa"/>
            <w:vMerge/>
          </w:tcPr>
          <w:p w:rsidR="00905D7D" w:rsidRPr="009A6EB7" w:rsidRDefault="00905D7D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905D7D" w:rsidRPr="009A6EB7" w:rsidRDefault="00905D7D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905D7D" w:rsidRPr="009A6EB7" w:rsidRDefault="00905D7D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905D7D" w:rsidRPr="009A6EB7" w:rsidRDefault="00905D7D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905D7D" w:rsidRPr="009A6EB7" w:rsidRDefault="00905D7D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905D7D" w:rsidRPr="009A6EB7" w:rsidRDefault="00905D7D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905D7D" w:rsidRPr="009A6EB7" w:rsidRDefault="00905D7D" w:rsidP="006C13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905D7D" w:rsidRPr="009A6EB7" w:rsidRDefault="00905D7D" w:rsidP="006C13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905D7D" w:rsidRPr="009A6EB7" w:rsidRDefault="00905D7D" w:rsidP="006C13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905D7D" w:rsidRPr="009A6EB7" w:rsidRDefault="00905D7D" w:rsidP="00905D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05D7D" w:rsidRPr="009A6EB7" w:rsidRDefault="00905D7D" w:rsidP="00905D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05D7D" w:rsidRPr="009A6EB7" w:rsidRDefault="00905D7D" w:rsidP="00905D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04D8" w:rsidRPr="00194ADD" w:rsidTr="00A9465F">
        <w:tc>
          <w:tcPr>
            <w:tcW w:w="2093" w:type="dxa"/>
          </w:tcPr>
          <w:p w:rsidR="006004D8" w:rsidRPr="00EE7144" w:rsidRDefault="006004D8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6004D8" w:rsidRPr="00B33007" w:rsidRDefault="006004D8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2025,5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1996,2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1996,2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004D8" w:rsidRPr="00194ADD" w:rsidTr="00A9465F">
        <w:tc>
          <w:tcPr>
            <w:tcW w:w="2093" w:type="dxa"/>
          </w:tcPr>
          <w:p w:rsidR="006004D8" w:rsidRPr="00EE7144" w:rsidRDefault="006004D8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6004D8" w:rsidRPr="00B33007" w:rsidRDefault="006004D8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</w:tr>
      <w:tr w:rsidR="006004D8" w:rsidRPr="00194ADD" w:rsidTr="00A9465F">
        <w:tc>
          <w:tcPr>
            <w:tcW w:w="2093" w:type="dxa"/>
          </w:tcPr>
          <w:p w:rsidR="006004D8" w:rsidRPr="00EE7144" w:rsidRDefault="006004D8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6004D8" w:rsidRPr="00B33007" w:rsidRDefault="006004D8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793,5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480,8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223,4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-312,7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-257,4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004D8" w:rsidRPr="00194ADD" w:rsidTr="00A9465F">
        <w:tc>
          <w:tcPr>
            <w:tcW w:w="2093" w:type="dxa"/>
          </w:tcPr>
          <w:p w:rsidR="006004D8" w:rsidRPr="00EE7144" w:rsidRDefault="006004D8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6004D8" w:rsidRPr="00B33007" w:rsidRDefault="006004D8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004D8" w:rsidRPr="00194ADD" w:rsidTr="00A9465F">
        <w:tc>
          <w:tcPr>
            <w:tcW w:w="2093" w:type="dxa"/>
          </w:tcPr>
          <w:p w:rsidR="006004D8" w:rsidRPr="00EE7144" w:rsidRDefault="006004D8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6004D8" w:rsidRPr="00B33007" w:rsidRDefault="006004D8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374,4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355,9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355,9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355,9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-18,5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004D8" w:rsidRPr="00194ADD" w:rsidTr="00A9465F">
        <w:tc>
          <w:tcPr>
            <w:tcW w:w="2093" w:type="dxa"/>
          </w:tcPr>
          <w:p w:rsidR="006004D8" w:rsidRPr="00EE7144" w:rsidRDefault="006004D8" w:rsidP="00883CD2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6004D8" w:rsidRPr="00B33007" w:rsidRDefault="006004D8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004D8" w:rsidRPr="00194ADD" w:rsidTr="00A9465F">
        <w:tc>
          <w:tcPr>
            <w:tcW w:w="2093" w:type="dxa"/>
          </w:tcPr>
          <w:p w:rsidR="006004D8" w:rsidRPr="00EE7144" w:rsidRDefault="006004D8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6004D8" w:rsidRPr="00B33007" w:rsidRDefault="006004D8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198,9</w:t>
            </w:r>
          </w:p>
        </w:tc>
      </w:tr>
      <w:tr w:rsidR="006004D8" w:rsidRPr="00194ADD" w:rsidTr="00A9465F">
        <w:tc>
          <w:tcPr>
            <w:tcW w:w="2093" w:type="dxa"/>
            <w:shd w:val="clear" w:color="auto" w:fill="FFFFFF" w:themeFill="background1"/>
          </w:tcPr>
          <w:p w:rsidR="006004D8" w:rsidRPr="00EE7144" w:rsidRDefault="006004D8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FFFFFF" w:themeFill="background1"/>
          </w:tcPr>
          <w:p w:rsidR="006004D8" w:rsidRPr="00B33007" w:rsidRDefault="006004D8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3330,2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2964,8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2958,7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2941,1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-365,4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-6,1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-17,6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04D8" w:rsidRPr="006004D8" w:rsidRDefault="006004D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4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</w:tbl>
    <w:p w:rsidR="00742217" w:rsidRPr="00C94F5C" w:rsidRDefault="00742217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По отношению к объему расходов, ожидаемому в</w:t>
      </w:r>
      <w:r w:rsidRPr="00C94F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2020 год</w:t>
      </w:r>
      <w:r w:rsidRPr="00C94F5C">
        <w:rPr>
          <w:rFonts w:ascii="Times New Roman" w:eastAsia="Times New Roman" w:hAnsi="Times New Roman" w:cs="Times New Roman"/>
          <w:spacing w:val="-2"/>
          <w:sz w:val="24"/>
          <w:szCs w:val="24"/>
        </w:rPr>
        <w:t>у расходы, определенные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44A12">
        <w:rPr>
          <w:rFonts w:ascii="Times New Roman" w:eastAsia="Times New Roman" w:hAnsi="Times New Roman" w:cs="Times New Roman"/>
          <w:sz w:val="24"/>
          <w:szCs w:val="24"/>
        </w:rPr>
        <w:t>365,4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144A12">
        <w:rPr>
          <w:rFonts w:ascii="Times New Roman" w:eastAsia="Times New Roman" w:hAnsi="Times New Roman" w:cs="Times New Roman"/>
          <w:sz w:val="24"/>
          <w:szCs w:val="24"/>
        </w:rPr>
        <w:t>11,0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3525FD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по разделу 01 «Общегосударственные вопросы»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FD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3525FD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E67A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E67A3">
        <w:rPr>
          <w:rFonts w:ascii="Times New Roman" w:eastAsia="Calibri" w:hAnsi="Times New Roman" w:cs="Times New Roman"/>
          <w:sz w:val="24"/>
          <w:szCs w:val="24"/>
          <w:lang w:eastAsia="en-US"/>
        </w:rPr>
        <w:t>1996,2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(к предыдущему году 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6E67A3">
        <w:rPr>
          <w:rFonts w:ascii="Times New Roman" w:eastAsia="Calibri" w:hAnsi="Times New Roman" w:cs="Times New Roman"/>
          <w:sz w:val="24"/>
          <w:szCs w:val="24"/>
          <w:lang w:eastAsia="en-US"/>
        </w:rPr>
        <w:t>29,3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525FD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6E67A3">
        <w:rPr>
          <w:rFonts w:ascii="Times New Roman" w:eastAsia="Calibri" w:hAnsi="Times New Roman" w:cs="Times New Roman"/>
          <w:sz w:val="24"/>
          <w:szCs w:val="24"/>
          <w:lang w:eastAsia="en-US"/>
        </w:rPr>
        <w:t>98,6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3525FD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E67A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E67A3">
        <w:rPr>
          <w:rFonts w:ascii="Times New Roman" w:eastAsia="Calibri" w:hAnsi="Times New Roman" w:cs="Times New Roman"/>
          <w:sz w:val="24"/>
          <w:szCs w:val="24"/>
          <w:lang w:eastAsia="en-US"/>
        </w:rPr>
        <w:t>1996,2</w:t>
      </w:r>
      <w:r w:rsidR="00AE14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(к предыдущему году 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6E67A3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525FD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6E67A3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3525FD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E67A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E67A3">
        <w:rPr>
          <w:rFonts w:ascii="Times New Roman" w:eastAsia="Times New Roman" w:hAnsi="Times New Roman" w:cs="Times New Roman"/>
          <w:sz w:val="24"/>
          <w:szCs w:val="24"/>
        </w:rPr>
        <w:t>1996,2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6E67A3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3525FD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DC160C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>0,</w:t>
      </w:r>
      <w:r w:rsidR="006E67A3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3525FD" w:rsidRPr="003525FD" w:rsidRDefault="0028199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78640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33CF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6407">
        <w:rPr>
          <w:rFonts w:ascii="Times New Roman" w:eastAsia="Times New Roman" w:hAnsi="Times New Roman" w:cs="Times New Roman"/>
          <w:sz w:val="24"/>
          <w:szCs w:val="24"/>
        </w:rPr>
        <w:t>,3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0B1907" w:rsidRDefault="007D225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9533CF">
        <w:rPr>
          <w:rFonts w:ascii="Times New Roman" w:eastAsia="Times New Roman" w:hAnsi="Times New Roman" w:cs="Times New Roman"/>
          <w:sz w:val="24"/>
          <w:szCs w:val="24"/>
        </w:rPr>
        <w:t>1694,7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Pr="000B1907" w:rsidRDefault="007D225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7D2257" w:rsidRDefault="007D225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9F1733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81997" w:rsidRPr="000B1907" w:rsidRDefault="0028199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резервны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F707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7D2257" w:rsidRDefault="007D225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9533CF">
        <w:rPr>
          <w:rFonts w:ascii="Times New Roman" w:eastAsia="Times New Roman" w:hAnsi="Times New Roman" w:cs="Times New Roman"/>
          <w:sz w:val="24"/>
          <w:szCs w:val="24"/>
        </w:rPr>
        <w:t>296,1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41A68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B41A68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533C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9533CF">
        <w:rPr>
          <w:rFonts w:ascii="Times New Roman" w:eastAsia="Calibri" w:hAnsi="Times New Roman" w:cs="Times New Roman"/>
          <w:sz w:val="24"/>
          <w:szCs w:val="24"/>
          <w:lang w:eastAsia="en-US"/>
        </w:rPr>
        <w:t>8,8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953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8552F0">
        <w:rPr>
          <w:rFonts w:ascii="Times New Roman" w:eastAsia="Calibri" w:hAnsi="Times New Roman" w:cs="Times New Roman"/>
          <w:sz w:val="24"/>
          <w:szCs w:val="24"/>
          <w:lang w:eastAsia="en-US"/>
        </w:rPr>
        <w:t>-0,1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153410">
        <w:rPr>
          <w:rFonts w:ascii="Times New Roman" w:eastAsia="Calibri" w:hAnsi="Times New Roman" w:cs="Times New Roman"/>
          <w:sz w:val="24"/>
          <w:szCs w:val="24"/>
          <w:lang w:eastAsia="en-US"/>
        </w:rPr>
        <w:t>99,9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B41A68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533C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533CF">
        <w:rPr>
          <w:rFonts w:ascii="Times New Roman" w:eastAsia="Calibri" w:hAnsi="Times New Roman" w:cs="Times New Roman"/>
          <w:sz w:val="24"/>
          <w:szCs w:val="24"/>
          <w:lang w:eastAsia="en-US"/>
        </w:rPr>
        <w:t>89,7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953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>0,</w:t>
      </w:r>
      <w:r w:rsidR="008552F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153410">
        <w:rPr>
          <w:rFonts w:ascii="Times New Roman" w:eastAsia="Calibri" w:hAnsi="Times New Roman" w:cs="Times New Roman"/>
          <w:sz w:val="24"/>
          <w:szCs w:val="24"/>
          <w:lang w:eastAsia="en-US"/>
        </w:rPr>
        <w:t>101,0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B41A68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533C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533CF">
        <w:rPr>
          <w:rFonts w:ascii="Times New Roman" w:eastAsia="Times New Roman" w:hAnsi="Times New Roman" w:cs="Times New Roman"/>
          <w:sz w:val="24"/>
          <w:szCs w:val="24"/>
        </w:rPr>
        <w:t>93,1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>3,</w:t>
      </w:r>
      <w:r w:rsidR="008552F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10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>3,8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B41A68" w:rsidRPr="003525FD" w:rsidRDefault="00B41A68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550F2F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FD6543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первичного воинского учета на территориях, где отсутствуют военные комиссариаты</w:t>
      </w:r>
      <w:r w:rsidR="00FD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543"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710C46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710C46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A724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A7245">
        <w:rPr>
          <w:rFonts w:ascii="Times New Roman" w:eastAsia="Calibri" w:hAnsi="Times New Roman" w:cs="Times New Roman"/>
          <w:sz w:val="24"/>
          <w:szCs w:val="24"/>
          <w:lang w:eastAsia="en-US"/>
        </w:rPr>
        <w:t>480,8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AA72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7108D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FD484C">
        <w:rPr>
          <w:rFonts w:ascii="Times New Roman" w:eastAsia="Calibri" w:hAnsi="Times New Roman" w:cs="Times New Roman"/>
          <w:sz w:val="24"/>
          <w:szCs w:val="24"/>
          <w:lang w:eastAsia="en-US"/>
        </w:rPr>
        <w:t>312,7</w:t>
      </w:r>
      <w:r w:rsidR="0007108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FD484C">
        <w:rPr>
          <w:rFonts w:ascii="Times New Roman" w:eastAsia="Calibri" w:hAnsi="Times New Roman" w:cs="Times New Roman"/>
          <w:sz w:val="24"/>
          <w:szCs w:val="24"/>
          <w:lang w:eastAsia="en-US"/>
        </w:rPr>
        <w:t>60,6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10C46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A724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A7245">
        <w:rPr>
          <w:rFonts w:ascii="Times New Roman" w:eastAsia="Calibri" w:hAnsi="Times New Roman" w:cs="Times New Roman"/>
          <w:sz w:val="24"/>
          <w:szCs w:val="24"/>
          <w:lang w:eastAsia="en-US"/>
        </w:rPr>
        <w:t>223,3</w:t>
      </w:r>
      <w:r w:rsidR="00071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A72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7108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1262B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D484C">
        <w:rPr>
          <w:rFonts w:ascii="Times New Roman" w:eastAsia="Calibri" w:hAnsi="Times New Roman" w:cs="Times New Roman"/>
          <w:sz w:val="24"/>
          <w:szCs w:val="24"/>
          <w:lang w:eastAsia="en-US"/>
        </w:rPr>
        <w:t>257,4</w:t>
      </w:r>
      <w:proofErr w:type="gramStart"/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7108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proofErr w:type="gramEnd"/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FD484C">
        <w:rPr>
          <w:rFonts w:ascii="Times New Roman" w:eastAsia="Calibri" w:hAnsi="Times New Roman" w:cs="Times New Roman"/>
          <w:sz w:val="24"/>
          <w:szCs w:val="24"/>
          <w:lang w:eastAsia="en-US"/>
        </w:rPr>
        <w:t>46,5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10C46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A724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10C46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A7245">
        <w:rPr>
          <w:rFonts w:ascii="Times New Roman" w:eastAsia="Times New Roman" w:hAnsi="Times New Roman" w:cs="Times New Roman"/>
          <w:sz w:val="24"/>
          <w:szCs w:val="24"/>
        </w:rPr>
        <w:t>223,3</w:t>
      </w:r>
      <w:r w:rsidR="00710C46" w:rsidRPr="003525FD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07108D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FD484C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10C46" w:rsidRPr="003525FD" w:rsidRDefault="00710C46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550F2F">
        <w:rPr>
          <w:rFonts w:ascii="Times New Roman" w:eastAsia="Times New Roman" w:hAnsi="Times New Roman" w:cs="Times New Roman"/>
          <w:sz w:val="24"/>
          <w:szCs w:val="24"/>
        </w:rPr>
        <w:t>16,2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противопожарной безопасности.</w:t>
      </w:r>
    </w:p>
    <w:p w:rsidR="004D25C3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4D25C3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4294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4206F">
        <w:rPr>
          <w:rFonts w:ascii="Times New Roman" w:eastAsia="Calibri" w:hAnsi="Times New Roman" w:cs="Times New Roman"/>
          <w:sz w:val="24"/>
          <w:szCs w:val="24"/>
          <w:lang w:eastAsia="en-US"/>
        </w:rPr>
        <w:t>3,0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(к предыдущему году </w:t>
      </w:r>
      <w:r w:rsidR="00C4206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24294F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4206F">
        <w:rPr>
          <w:rFonts w:ascii="Times New Roman" w:eastAsia="Calibri" w:hAnsi="Times New Roman" w:cs="Times New Roman"/>
          <w:sz w:val="24"/>
          <w:szCs w:val="24"/>
          <w:lang w:eastAsia="en-US"/>
        </w:rPr>
        <w:t>,0)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4294F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D25C3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4294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4294F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4D25C3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(к предыдущему году </w:t>
      </w:r>
      <w:r w:rsidR="00C4206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24294F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7301B8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4206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4294F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D25C3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294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4294F">
        <w:rPr>
          <w:rFonts w:ascii="Times New Roman" w:eastAsia="Times New Roman" w:hAnsi="Times New Roman" w:cs="Times New Roman"/>
          <w:sz w:val="24"/>
          <w:szCs w:val="24"/>
        </w:rPr>
        <w:t>3,</w:t>
      </w:r>
      <w:r w:rsidR="004D25C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7301B8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 тыс. рублей, или </w:t>
      </w:r>
      <w:r w:rsidR="00C4206F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330B2D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D25C3" w:rsidRPr="003525FD" w:rsidRDefault="004D25C3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C420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64467B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64467B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>355,9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>18,5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>95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>,1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64467B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>355,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64467B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A1FD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F1597">
        <w:rPr>
          <w:rFonts w:ascii="Times New Roman" w:eastAsia="Times New Roman" w:hAnsi="Times New Roman" w:cs="Times New Roman"/>
          <w:sz w:val="24"/>
          <w:szCs w:val="24"/>
        </w:rPr>
        <w:t>355,</w:t>
      </w:r>
      <w:r w:rsidR="009A1F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181D40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181D40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64467B" w:rsidRPr="003525FD" w:rsidRDefault="0064467B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9A1FDF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3F2812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3F2812" w:rsidRDefault="007D225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 w:rsidR="008F159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597">
        <w:rPr>
          <w:rFonts w:ascii="Times New Roman" w:eastAsia="Times New Roman" w:hAnsi="Times New Roman" w:cs="Times New Roman"/>
          <w:sz w:val="24"/>
          <w:szCs w:val="24"/>
        </w:rPr>
        <w:t>280,4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A1FDF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2257" w:rsidRPr="003F2812" w:rsidRDefault="007D225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9A1FDF">
        <w:rPr>
          <w:rFonts w:ascii="Times New Roman" w:eastAsia="Times New Roman" w:hAnsi="Times New Roman" w:cs="Times New Roman"/>
          <w:sz w:val="24"/>
          <w:szCs w:val="24"/>
        </w:rPr>
        <w:t>37,3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Default="007D225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 w:rsidR="002508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FDF">
        <w:rPr>
          <w:rFonts w:ascii="Times New Roman" w:eastAsia="Times New Roman" w:hAnsi="Times New Roman" w:cs="Times New Roman"/>
          <w:sz w:val="24"/>
          <w:szCs w:val="24"/>
        </w:rPr>
        <w:t>38,2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472CE" w:rsidRPr="00281997" w:rsidRDefault="0075779D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    </w:t>
      </w:r>
      <w:r w:rsidR="007D2257"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 w:rsidR="007D2257">
        <w:rPr>
          <w:rFonts w:ascii="Times New Roman" w:eastAsia="Times New Roman" w:hAnsi="Times New Roman" w:cs="Times New Roman"/>
          <w:b/>
          <w:bCs/>
          <w:sz w:val="24"/>
          <w:szCs w:val="24"/>
        </w:rPr>
        <w:t>10 «Социальн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7D2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</w:t>
      </w:r>
      <w:r w:rsidR="007D2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472CE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1B78D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310B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B78DE">
        <w:rPr>
          <w:rFonts w:ascii="Times New Roman" w:eastAsia="Calibri" w:hAnsi="Times New Roman" w:cs="Times New Roman"/>
          <w:sz w:val="24"/>
          <w:szCs w:val="24"/>
          <w:lang w:eastAsia="en-US"/>
        </w:rPr>
        <w:t>9,9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F31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310B9">
        <w:rPr>
          <w:rFonts w:ascii="Times New Roman" w:eastAsia="Calibri" w:hAnsi="Times New Roman" w:cs="Times New Roman"/>
          <w:sz w:val="24"/>
          <w:szCs w:val="24"/>
          <w:lang w:eastAsia="en-US"/>
        </w:rPr>
        <w:t>-5,0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310B9">
        <w:rPr>
          <w:rFonts w:ascii="Times New Roman" w:eastAsia="Calibri" w:hAnsi="Times New Roman" w:cs="Times New Roman"/>
          <w:sz w:val="24"/>
          <w:szCs w:val="24"/>
          <w:lang w:eastAsia="en-US"/>
        </w:rPr>
        <w:t>88,</w:t>
      </w:r>
      <w:r w:rsidR="001B78DE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472CE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1B78D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310B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B78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9,9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F31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1472CE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B630C9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472CE" w:rsidRPr="003525FD" w:rsidRDefault="00F11941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78D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310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78DE">
        <w:rPr>
          <w:rFonts w:ascii="Times New Roman" w:eastAsia="Times New Roman" w:hAnsi="Times New Roman" w:cs="Times New Roman"/>
          <w:sz w:val="24"/>
          <w:szCs w:val="24"/>
        </w:rPr>
        <w:t>9,9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B630C9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1472CE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472CE" w:rsidRDefault="001472CE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0310B9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83CD2" w:rsidRPr="003525FD" w:rsidRDefault="00883CD2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10 01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49" w:rsidRPr="00CB7E49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</w:t>
      </w:r>
      <w:r w:rsidR="00CB7E49"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муниципальных пенсий.</w:t>
      </w:r>
    </w:p>
    <w:p w:rsidR="00831A2F" w:rsidRPr="008953E4" w:rsidRDefault="00831A2F" w:rsidP="00A901EC">
      <w:pPr>
        <w:spacing w:after="0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 ст. 184.1 Бюджетного кодекса РФ 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0F0" w:rsidRDefault="00831A2F" w:rsidP="00A901E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72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A72A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утверждены, соответственно </w:t>
      </w:r>
      <w:r w:rsidR="00BA72A8">
        <w:rPr>
          <w:rFonts w:ascii="Times New Roman" w:eastAsia="Times New Roman" w:hAnsi="Times New Roman" w:cs="Times New Roman"/>
          <w:sz w:val="24"/>
          <w:szCs w:val="24"/>
        </w:rPr>
        <w:t>73,9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A72A8">
        <w:rPr>
          <w:rFonts w:ascii="Times New Roman" w:eastAsia="Times New Roman" w:hAnsi="Times New Roman" w:cs="Times New Roman"/>
          <w:sz w:val="24"/>
          <w:szCs w:val="24"/>
        </w:rPr>
        <w:t>147,0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</w:t>
      </w:r>
      <w:r w:rsidR="00D000F0">
        <w:rPr>
          <w:rFonts w:ascii="Times New Roman" w:eastAsia="Times New Roman" w:hAnsi="Times New Roman" w:cs="Times New Roman"/>
          <w:sz w:val="24"/>
          <w:szCs w:val="24"/>
        </w:rPr>
        <w:t>Ограничение п. 3 ст. 184.1 Бюджетного кодекса в части объема условно утверждаемых расходов  соблюдено.</w:t>
      </w:r>
    </w:p>
    <w:p w:rsidR="007D2257" w:rsidRPr="003F2812" w:rsidRDefault="007D225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890AA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AAC">
        <w:rPr>
          <w:rFonts w:ascii="Times New Roman" w:eastAsia="Times New Roman" w:hAnsi="Times New Roman" w:cs="Times New Roman"/>
          <w:sz w:val="24"/>
          <w:szCs w:val="24"/>
        </w:rPr>
        <w:t>Нивнянская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B92758" w:rsidRPr="00B1138D" w:rsidRDefault="00B92758" w:rsidP="00A901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DB6920" w:rsidRPr="00D52CA1" w:rsidRDefault="00DB6920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E666F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E13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34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плановый 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>период 202</w:t>
      </w:r>
      <w:r w:rsidR="002E13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1941" w:rsidRPr="008337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E13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 w:rsidRPr="0083379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01575C" w:rsidRPr="00833796">
        <w:rPr>
          <w:rFonts w:ascii="Times New Roman" w:eastAsia="Times New Roman" w:hAnsi="Times New Roman" w:cs="Times New Roman"/>
          <w:sz w:val="24"/>
          <w:szCs w:val="24"/>
        </w:rPr>
        <w:t>бюджет сбалансирован.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7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83379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</w:t>
      </w:r>
      <w:r w:rsidR="00833796">
        <w:rPr>
          <w:rFonts w:ascii="Times New Roman" w:eastAsia="Times New Roman" w:hAnsi="Times New Roman" w:cs="Times New Roman"/>
          <w:sz w:val="24"/>
          <w:szCs w:val="24"/>
        </w:rPr>
        <w:t xml:space="preserve">, а так же 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утверждены источники внутреннего финансирования дефицита бюджета на </w:t>
      </w:r>
      <w:r w:rsidR="00F11941" w:rsidRPr="008337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E13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83379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период 202</w:t>
      </w:r>
      <w:r w:rsidR="002E13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E13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ов – изменение остатков средств на счетах по учету средств бюджета.</w:t>
      </w:r>
    </w:p>
    <w:p w:rsidR="00DB6920" w:rsidRDefault="00DB6920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 п. 3 ст. 92.1 Бюджетного кодекса РФ соблюдены.</w:t>
      </w:r>
    </w:p>
    <w:p w:rsidR="00B92758" w:rsidRPr="00B1138D" w:rsidRDefault="00B92758" w:rsidP="00A901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D821FB">
        <w:rPr>
          <w:rFonts w:ascii="Times New Roman" w:eastAsia="Times New Roman" w:hAnsi="Times New Roman" w:cs="Times New Roman"/>
          <w:b/>
          <w:bCs/>
          <w:sz w:val="24"/>
          <w:szCs w:val="24"/>
        </w:rPr>
        <w:t>Нивнянского</w:t>
      </w:r>
      <w:proofErr w:type="spellEnd"/>
      <w:r w:rsidR="00D82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BD5918" w:rsidRPr="008135F5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бюджета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C3D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</w:t>
      </w:r>
      <w:r w:rsidR="005878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BD5918" w:rsidRPr="008135F5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решения: </w:t>
      </w:r>
    </w:p>
    <w:p w:rsidR="00BD5918" w:rsidRPr="008135F5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</w:t>
      </w:r>
      <w:proofErr w:type="spellStart"/>
      <w:r w:rsidR="00141C40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A47A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63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3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BD5918" w:rsidRPr="008135F5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spellStart"/>
      <w:r w:rsidR="00141C40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A47A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63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3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BD5918" w:rsidRPr="008135F5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1C4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пожарной безопасности </w:t>
      </w:r>
      <w:proofErr w:type="spellStart"/>
      <w:r w:rsidR="00141C40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141C40" w:rsidRPr="00813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</w:t>
      </w:r>
      <w:r w:rsidR="00A47A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63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3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ы».</w:t>
      </w:r>
    </w:p>
    <w:p w:rsidR="00141C40" w:rsidRPr="00AE4564" w:rsidRDefault="00141C40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E4564">
        <w:rPr>
          <w:rFonts w:ascii="Times New Roman" w:eastAsia="Times New Roman" w:hAnsi="Times New Roman" w:cs="Times New Roman"/>
          <w:sz w:val="24"/>
          <w:szCs w:val="24"/>
        </w:rPr>
        <w:t>Нивнянском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Pr="00AE4564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18.10.2016 года №90/1 «Об утверждении порядка разработки, реализации и оценки эффективности муниципальных программ». </w:t>
      </w:r>
    </w:p>
    <w:p w:rsidR="00A47AD6" w:rsidRPr="008135F5" w:rsidRDefault="00141C40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перечень муниципальных программ, предлагаемых к финансированию начиная с очередного финансового года, утверждены постановлениями </w:t>
      </w:r>
      <w:proofErr w:type="spellStart"/>
      <w:r w:rsidRPr="00AE4564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</w:t>
      </w:r>
      <w:r w:rsidR="00A47AD6" w:rsidRPr="008135F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47A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3D5C">
        <w:rPr>
          <w:rFonts w:ascii="Times New Roman" w:eastAsia="Times New Roman" w:hAnsi="Times New Roman" w:cs="Times New Roman"/>
          <w:sz w:val="24"/>
          <w:szCs w:val="24"/>
        </w:rPr>
        <w:t>8</w:t>
      </w:r>
      <w:r w:rsidR="00A47AD6" w:rsidRPr="008135F5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FC3D5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47AD6" w:rsidRPr="008135F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FC3D5C">
        <w:rPr>
          <w:rFonts w:ascii="Times New Roman" w:eastAsia="Times New Roman" w:hAnsi="Times New Roman" w:cs="Times New Roman"/>
          <w:sz w:val="24"/>
          <w:szCs w:val="24"/>
        </w:rPr>
        <w:t>47</w:t>
      </w:r>
      <w:r w:rsidR="00C763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7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C40" w:rsidRPr="00AE4564" w:rsidRDefault="00141C40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6F31B6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</w:t>
      </w:r>
      <w:proofErr w:type="spellStart"/>
      <w:r w:rsidR="00D5157E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33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</w:t>
      </w:r>
      <w:r w:rsidR="006B5628" w:rsidRPr="00F03D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33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33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ов»  расходы на реализацию целевых программ 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33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873329">
        <w:rPr>
          <w:rFonts w:ascii="Times New Roman" w:eastAsia="Times New Roman" w:hAnsi="Times New Roman" w:cs="Times New Roman"/>
          <w:sz w:val="24"/>
          <w:szCs w:val="24"/>
        </w:rPr>
        <w:t xml:space="preserve">2959,3 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рублей, что  соответствует </w:t>
      </w:r>
      <w:r w:rsidR="006F31B6"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>% объема расходов бюджета</w:t>
      </w:r>
      <w:r w:rsidR="006F3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F03DC8" w:rsidRDefault="00B92758" w:rsidP="00B927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B92758" w:rsidRPr="00012EED" w:rsidRDefault="00B92758" w:rsidP="00B927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Таблица №9, тыс. рублей</w:t>
      </w:r>
    </w:p>
    <w:tbl>
      <w:tblPr>
        <w:tblW w:w="9618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134"/>
        <w:gridCol w:w="1103"/>
      </w:tblGrid>
      <w:tr w:rsidR="00012EED" w:rsidRPr="00F619E9" w:rsidTr="00413819">
        <w:trPr>
          <w:trHeight w:val="13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мое 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12EED" w:rsidRPr="00F619E9" w:rsidRDefault="00F11941" w:rsidP="006F31B6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F3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0D7C4E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D7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841B84" w:rsidRPr="00F619E9" w:rsidTr="00841B84">
        <w:trPr>
          <w:trHeight w:val="59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84" w:rsidRPr="00F619E9" w:rsidRDefault="00841B8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84" w:rsidRPr="00F619E9" w:rsidRDefault="00841B84" w:rsidP="002341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Нивнянского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сельского поселения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341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2341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841B84" w:rsidRPr="00F619E9" w:rsidTr="00841B84">
        <w:trPr>
          <w:trHeight w:val="37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84" w:rsidRPr="00F619E9" w:rsidRDefault="00841B8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84" w:rsidRPr="00F619E9" w:rsidRDefault="00841B84" w:rsidP="002341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Нивнянского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341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2341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41B84" w:rsidRPr="00F619E9" w:rsidTr="00841B84">
        <w:trPr>
          <w:trHeight w:val="48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84" w:rsidRPr="00F619E9" w:rsidRDefault="00841B8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84" w:rsidRPr="005A50F7" w:rsidRDefault="00841B84" w:rsidP="005A50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«Обеспечение пожарной безопасности </w:t>
            </w:r>
            <w:proofErr w:type="spellStart"/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Нивнянского</w:t>
            </w:r>
            <w:proofErr w:type="spellEnd"/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341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2341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ы».</w:t>
            </w:r>
          </w:p>
          <w:p w:rsidR="00841B84" w:rsidRPr="00F619E9" w:rsidRDefault="00841B84" w:rsidP="00601B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-312,6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</w:tr>
      <w:tr w:rsidR="00841B84" w:rsidRPr="00F619E9" w:rsidTr="00393A93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B84" w:rsidRPr="00F619E9" w:rsidRDefault="00841B84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B84" w:rsidRPr="00F619E9" w:rsidRDefault="00841B84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-365,4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84" w:rsidRPr="00841B84" w:rsidRDefault="00841B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89,0</w:t>
            </w:r>
          </w:p>
        </w:tc>
      </w:tr>
    </w:tbl>
    <w:p w:rsidR="006F31B6" w:rsidRDefault="00D20456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Программные расходы 2021 года на 365,4 тыс. рублей, или 11,0% ниже ожидаемого исполнения 2020 года. </w:t>
      </w:r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занимает программа «Реализация полномочий органов местного самоуправления </w:t>
      </w:r>
      <w:proofErr w:type="spellStart"/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202</w:t>
      </w:r>
      <w:r w:rsidR="00E750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750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 xml:space="preserve">гг.» - </w:t>
      </w:r>
      <w:r w:rsidR="00E75017">
        <w:rPr>
          <w:rFonts w:ascii="Times New Roman" w:eastAsia="Times New Roman" w:hAnsi="Times New Roman" w:cs="Times New Roman"/>
          <w:sz w:val="24"/>
          <w:szCs w:val="24"/>
        </w:rPr>
        <w:t>80,7</w:t>
      </w:r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B70DB" w:rsidRPr="00D77815" w:rsidRDefault="002B70DB" w:rsidP="00A90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012EED" w:rsidRPr="00937CD9" w:rsidRDefault="00587870" w:rsidP="00A901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44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8D445F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D445F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</w:t>
      </w:r>
      <w:r w:rsidR="00423157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33A" w:rsidRPr="00AB1365" w:rsidRDefault="009D133A" w:rsidP="009D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Выводы</w:t>
      </w:r>
    </w:p>
    <w:p w:rsidR="00B5046C" w:rsidRPr="00420511" w:rsidRDefault="00B5046C" w:rsidP="00B5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05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п. 1 ст. 185 Бюджетного кодекса РФ проект бюджета </w:t>
      </w:r>
      <w:proofErr w:type="spellStart"/>
      <w:r w:rsidRPr="00420511">
        <w:rPr>
          <w:rFonts w:ascii="Times New Roman" w:eastAsia="Times New Roman" w:hAnsi="Times New Roman" w:cs="Times New Roman"/>
          <w:b/>
          <w:i/>
          <w:sz w:val="24"/>
          <w:szCs w:val="24"/>
        </w:rPr>
        <w:t>Нивнянского</w:t>
      </w:r>
      <w:proofErr w:type="spellEnd"/>
      <w:r w:rsidRPr="004205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внесен для экспертизы с нарушением срока.</w:t>
      </w:r>
    </w:p>
    <w:p w:rsidR="002A2728" w:rsidRDefault="00893D35" w:rsidP="00F56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2728" w:rsidRPr="0052236E">
        <w:rPr>
          <w:rFonts w:ascii="Times New Roman" w:hAnsi="Times New Roman" w:cs="Times New Roman"/>
          <w:sz w:val="24"/>
          <w:szCs w:val="24"/>
        </w:rPr>
        <w:t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(далее – Закон №131-ФЗ) проект бюджета официально опубликован.</w:t>
      </w:r>
    </w:p>
    <w:p w:rsidR="007570D1" w:rsidRPr="00601B2C" w:rsidRDefault="007570D1" w:rsidP="00F5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ы, что </w:t>
      </w:r>
      <w:r w:rsidRPr="004A1448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установленному периоду в части 1 статьи 173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Прогноз социально-экономического развития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12" w:history="1">
        <w:r w:rsidRPr="00601B2C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22.07.2016 г. №74/1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</w:p>
    <w:p w:rsidR="007570D1" w:rsidRPr="00601B2C" w:rsidRDefault="007570D1" w:rsidP="00757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3 статьи 173 Бюджетного кодекса Российской Федерации Прогноз был утвержден постановлением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.11.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0D1" w:rsidRPr="00601B2C" w:rsidRDefault="007570D1" w:rsidP="00757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В соответствии с п. 4 ст. 173 БК РФ в пояснительной записке к прогнозу социально-экономического развития приведены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21EC7" w:rsidRDefault="00321EC7" w:rsidP="00757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B4B2A" w:rsidRPr="00DE247E" w:rsidRDefault="00FB4B2A" w:rsidP="00FB4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247E">
        <w:rPr>
          <w:rFonts w:ascii="Times New Roman" w:hAnsi="Times New Roman" w:cs="Times New Roman"/>
          <w:sz w:val="24"/>
          <w:szCs w:val="24"/>
        </w:rPr>
        <w:t>Соблюдена ст. 184.2 Бюджетного Кодекса РФ в части представленных одновременно с проектом бюджета документов.</w:t>
      </w:r>
    </w:p>
    <w:p w:rsidR="00321EC7" w:rsidRPr="00C84B76" w:rsidRDefault="00321EC7" w:rsidP="0032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Исполнена статья 184.1 БК РФ в части состава </w:t>
      </w:r>
      <w:r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района:</w:t>
      </w:r>
    </w:p>
    <w:p w:rsidR="00321EC7" w:rsidRPr="005D2F8F" w:rsidRDefault="00321EC7" w:rsidP="0032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2964,8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21EC7" w:rsidRPr="005D2F8F" w:rsidRDefault="00321EC7" w:rsidP="0032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2964,8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21EC7" w:rsidRPr="005D2F8F" w:rsidRDefault="00321EC7" w:rsidP="0032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B13FE" w:rsidRPr="00D52CA1" w:rsidRDefault="002B13FE" w:rsidP="002B1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плановый 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>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годов бюджет сбалансирован.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 же 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>утверждены источники внутреннего финансирования дефицита бюджета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ов – изменение остатков средств на счетах по учету средств бюджета.</w:t>
      </w:r>
    </w:p>
    <w:p w:rsidR="002B13FE" w:rsidRDefault="002B13FE" w:rsidP="002B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 п. 3 ст. 92.1 Бюджетного кодекса РФ соблюдены.</w:t>
      </w:r>
    </w:p>
    <w:p w:rsidR="00923F3F" w:rsidRPr="008E4744" w:rsidRDefault="00923F3F" w:rsidP="00923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8E4744">
        <w:rPr>
          <w:rFonts w:ascii="Times New Roman" w:eastAsia="Times New Roman" w:hAnsi="Times New Roman" w:cs="Times New Roman"/>
          <w:sz w:val="24"/>
          <w:szCs w:val="24"/>
        </w:rPr>
        <w:t>Прогнозирование собственных доходов отвечает нормам, установленными статьей 174.1 Бюджетного кодекса Российской Федерации, в условиях действующего на день внесения проекта решения о бюджете в законодательный (представительный) орган, законодательства о налогах и сборах и бюджетного законодательства.</w:t>
      </w:r>
      <w:proofErr w:type="gramEnd"/>
    </w:p>
    <w:p w:rsidR="00923F3F" w:rsidRDefault="00923F3F" w:rsidP="00923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44">
        <w:rPr>
          <w:rFonts w:ascii="Times New Roman" w:eastAsia="Times New Roman" w:hAnsi="Times New Roman" w:cs="Times New Roman"/>
          <w:sz w:val="24"/>
          <w:szCs w:val="24"/>
        </w:rPr>
        <w:t>При расчетах соблюдены положения нормативно-правовых актов Российской Федерации и Брянской области, предусматривающие изменения в законодательство о налогах и сборах, вступающие в действие с 1 января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77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E4744">
        <w:rPr>
          <w:rFonts w:ascii="Times New Roman" w:eastAsia="Times New Roman" w:hAnsi="Times New Roman" w:cs="Times New Roman"/>
          <w:sz w:val="24"/>
          <w:szCs w:val="24"/>
        </w:rPr>
        <w:t xml:space="preserve"> года и последующие годы.</w:t>
      </w:r>
    </w:p>
    <w:p w:rsidR="00911B06" w:rsidRPr="005C372F" w:rsidRDefault="00911B06" w:rsidP="00911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7,6% или 209,9 тыс. рублей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за счет у</w:t>
      </w:r>
      <w:r>
        <w:rPr>
          <w:rFonts w:ascii="Times New Roman" w:eastAsia="Times New Roman" w:hAnsi="Times New Roman" w:cs="Times New Roman"/>
          <w:sz w:val="24"/>
          <w:szCs w:val="24"/>
        </w:rPr>
        <w:t>величения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на </w:t>
      </w:r>
      <w:r>
        <w:rPr>
          <w:rFonts w:ascii="Times New Roman" w:eastAsia="Times New Roman" w:hAnsi="Times New Roman" w:cs="Times New Roman"/>
          <w:sz w:val="24"/>
          <w:szCs w:val="24"/>
        </w:rPr>
        <w:t>443,9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4"/>
          <w:szCs w:val="24"/>
        </w:rPr>
        <w:t>в 1,5 раза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49B6" w:rsidRPr="00C94F5C" w:rsidRDefault="00B749B6" w:rsidP="00B74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02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на 2021 год и на плановый период 2022 и 2023 годов составляет 2964,8 тыс. рублей, 2958,7 тыс. рублей и 2941,1 тыс. рублей соответственно. 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>По отношению к объему расходов, ожидаемому в</w:t>
      </w:r>
      <w:r w:rsidRPr="00C94F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2020 год</w:t>
      </w:r>
      <w:r w:rsidRPr="00C94F5C">
        <w:rPr>
          <w:rFonts w:ascii="Times New Roman" w:eastAsia="Times New Roman" w:hAnsi="Times New Roman" w:cs="Times New Roman"/>
          <w:spacing w:val="-2"/>
          <w:sz w:val="24"/>
          <w:szCs w:val="24"/>
        </w:rPr>
        <w:t>у расходы, определенные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365,4 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>
        <w:rPr>
          <w:rFonts w:ascii="Times New Roman" w:eastAsia="Times New Roman" w:hAnsi="Times New Roman" w:cs="Times New Roman"/>
          <w:sz w:val="24"/>
          <w:szCs w:val="24"/>
        </w:rPr>
        <w:t>11,0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353B2B" w:rsidRDefault="00353B2B" w:rsidP="00353B2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Условно утверждаемые расходы на плановый период 2022-2023 годы утверждены, соответственно 73,9 и 147,0 тыс. рублей, что составляет 2,5 и 5,0%% от суммы общей расходов. Ограничение п. 3 ст. 184.1 Бюджетного кодекса в части объема условно утверждаемых расходов  соблюдено.</w:t>
      </w:r>
    </w:p>
    <w:p w:rsidR="00611054" w:rsidRPr="005D2F8F" w:rsidRDefault="00611054" w:rsidP="00611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2020 и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6A1440" w:rsidRPr="008135F5" w:rsidRDefault="006A1440" w:rsidP="006A1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7E5A14" w:rsidRPr="00AE4564" w:rsidRDefault="007E5A14" w:rsidP="007E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E4564">
        <w:rPr>
          <w:rFonts w:ascii="Times New Roman" w:eastAsia="Times New Roman" w:hAnsi="Times New Roman" w:cs="Times New Roman"/>
          <w:sz w:val="24"/>
          <w:szCs w:val="24"/>
        </w:rPr>
        <w:t>Нивнянском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Pr="00AE4564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18.10.2016 года №90/1 «Об утверждении порядка разработки, реализации и оценки эффективности муниципальных программ». </w:t>
      </w:r>
    </w:p>
    <w:p w:rsidR="007E5A14" w:rsidRPr="008135F5" w:rsidRDefault="007E5A14" w:rsidP="007E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перечень муниципальных программ, предлагаемых к финансированию начиная с очередного финансового года, утверждены постановлениями </w:t>
      </w:r>
      <w:proofErr w:type="spellStart"/>
      <w:r w:rsidRPr="00AE4564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</w:p>
    <w:p w:rsidR="007E5A14" w:rsidRPr="00AE4564" w:rsidRDefault="007E5A14" w:rsidP="007E5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7E5A14" w:rsidRDefault="007E5A14" w:rsidP="007E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A949F1" w:rsidRPr="00A949F1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A949F1" w:rsidRPr="00A949F1">
        <w:rPr>
          <w:rFonts w:ascii="Times New Roman" w:eastAsia="Times New Roman" w:hAnsi="Times New Roman" w:cs="Times New Roman"/>
          <w:bCs/>
          <w:sz w:val="24"/>
          <w:szCs w:val="24"/>
        </w:rPr>
        <w:t>Нивнянского</w:t>
      </w:r>
      <w:proofErr w:type="spellEnd"/>
      <w:r w:rsidR="00A949F1" w:rsidRPr="00A9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2021 год и на плановый период 2022 и 2023 годов»</w:t>
      </w:r>
      <w:r w:rsidR="00A9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расходы на реализацию целевых программ  в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2959,3 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рублей, что 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>% объема расходов бюджета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CCD" w:rsidRPr="00D77815" w:rsidRDefault="00B11CCD" w:rsidP="00B1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605C5F" w:rsidRPr="00937CD9" w:rsidRDefault="00605C5F" w:rsidP="00605C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ABB" w:rsidRPr="00146461" w:rsidRDefault="00AB53B7" w:rsidP="001464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CD3" w:rsidRPr="001464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67ABB" w:rsidRPr="00146461">
        <w:rPr>
          <w:rFonts w:ascii="Times New Roman" w:eastAsia="Times New Roman" w:hAnsi="Times New Roman" w:cs="Times New Roman"/>
          <w:b/>
          <w:sz w:val="24"/>
          <w:szCs w:val="24"/>
        </w:rPr>
        <w:t>ПРЕДЛОЖЕНИЯ:</w:t>
      </w:r>
    </w:p>
    <w:p w:rsidR="00A949F1" w:rsidRPr="00146461" w:rsidRDefault="00067ABB" w:rsidP="00146461">
      <w:pPr>
        <w:pStyle w:val="af4"/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146461">
        <w:rPr>
          <w:sz w:val="24"/>
          <w:szCs w:val="24"/>
        </w:rPr>
        <w:t xml:space="preserve">Считать обязательства по финансовому обеспечению Указов Президента Российской Федерации первоочередными при принятии решений о внесении  изменений в решение </w:t>
      </w:r>
      <w:r w:rsidR="00A949F1" w:rsidRPr="00146461">
        <w:rPr>
          <w:bCs/>
          <w:sz w:val="24"/>
          <w:szCs w:val="24"/>
        </w:rPr>
        <w:t xml:space="preserve">«О бюджете </w:t>
      </w:r>
      <w:proofErr w:type="spellStart"/>
      <w:r w:rsidR="00A949F1" w:rsidRPr="00146461">
        <w:rPr>
          <w:bCs/>
          <w:sz w:val="24"/>
          <w:szCs w:val="24"/>
        </w:rPr>
        <w:t>Нивнянского</w:t>
      </w:r>
      <w:proofErr w:type="spellEnd"/>
      <w:r w:rsidR="00A949F1" w:rsidRPr="00146461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 на 2021 год и на плановый период 2022 и 2023 годов».</w:t>
      </w:r>
    </w:p>
    <w:p w:rsidR="00012EED" w:rsidRPr="00146461" w:rsidRDefault="00067ABB" w:rsidP="00146461">
      <w:pPr>
        <w:pStyle w:val="af4"/>
        <w:numPr>
          <w:ilvl w:val="0"/>
          <w:numId w:val="23"/>
        </w:numPr>
        <w:jc w:val="both"/>
        <w:rPr>
          <w:sz w:val="24"/>
          <w:szCs w:val="24"/>
        </w:rPr>
      </w:pPr>
      <w:r w:rsidRPr="00146461">
        <w:rPr>
          <w:sz w:val="24"/>
          <w:szCs w:val="24"/>
        </w:rPr>
        <w:t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</w:t>
      </w:r>
    </w:p>
    <w:p w:rsidR="00B92758" w:rsidRPr="00AF4E1F" w:rsidRDefault="00B92758" w:rsidP="001464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1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="00DF7A51" w:rsidRPr="00AF4E1F">
        <w:rPr>
          <w:rFonts w:ascii="Times New Roman" w:eastAsia="Times New Roman" w:hAnsi="Times New Roman" w:cs="Times New Roman"/>
          <w:bCs/>
          <w:sz w:val="24"/>
          <w:szCs w:val="24"/>
        </w:rPr>
        <w:t>Нивнянскому</w:t>
      </w:r>
      <w:proofErr w:type="spellEnd"/>
      <w:r w:rsidRPr="00AF4E1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сельскому Совету народных  депутатов проект </w:t>
      </w:r>
      <w:r w:rsidR="0030791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AF4E1F"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ешения </w:t>
      </w:r>
      <w:r w:rsidR="00A949F1" w:rsidRPr="00A949F1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A949F1" w:rsidRPr="00A949F1">
        <w:rPr>
          <w:rFonts w:ascii="Times New Roman" w:eastAsia="Times New Roman" w:hAnsi="Times New Roman" w:cs="Times New Roman"/>
          <w:bCs/>
          <w:sz w:val="24"/>
          <w:szCs w:val="24"/>
        </w:rPr>
        <w:t>Нивнянского</w:t>
      </w:r>
      <w:proofErr w:type="spellEnd"/>
      <w:r w:rsidR="00A949F1" w:rsidRPr="00A9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2021 год и на плановый период 2022 и 2023 годов»</w:t>
      </w:r>
      <w:r w:rsidR="00A9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7911" w:rsidRPr="00E76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E1F">
        <w:rPr>
          <w:rFonts w:ascii="Times New Roman" w:eastAsia="Times New Roman" w:hAnsi="Times New Roman" w:cs="Times New Roman"/>
          <w:sz w:val="24"/>
          <w:szCs w:val="24"/>
        </w:rPr>
        <w:t xml:space="preserve">к рассмотрению </w:t>
      </w:r>
      <w:r w:rsidR="00FC16AD" w:rsidRPr="00AF4E1F">
        <w:rPr>
          <w:rFonts w:ascii="Times New Roman" w:eastAsia="Times New Roman" w:hAnsi="Times New Roman" w:cs="Times New Roman"/>
          <w:sz w:val="24"/>
          <w:szCs w:val="24"/>
        </w:rPr>
        <w:t>после приведения его в соответствие с указанными замечаниями.</w:t>
      </w:r>
      <w:r w:rsidRPr="00AF4E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2758" w:rsidRPr="00B92758" w:rsidRDefault="00B92758" w:rsidP="001464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FA38F2" w:rsidRPr="001B6A93" w:rsidRDefault="00FA38F2" w:rsidP="00FA38F2">
      <w:pPr>
        <w:spacing w:after="0" w:line="240" w:lineRule="auto"/>
        <w:jc w:val="both"/>
        <w:rPr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     </w:t>
      </w:r>
      <w:r w:rsidR="001B6A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        Н. В. Жидкова</w:t>
      </w: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2758" w:rsidRPr="001B6A93" w:rsidRDefault="00B92758" w:rsidP="0054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92758" w:rsidRPr="001B6A93" w:rsidSect="00146461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72" w:rsidRDefault="007A6472" w:rsidP="001262B1">
      <w:pPr>
        <w:spacing w:after="0" w:line="240" w:lineRule="auto"/>
      </w:pPr>
      <w:r>
        <w:separator/>
      </w:r>
    </w:p>
  </w:endnote>
  <w:endnote w:type="continuationSeparator" w:id="0">
    <w:p w:rsidR="007A6472" w:rsidRDefault="007A6472" w:rsidP="0012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72" w:rsidRDefault="007A6472" w:rsidP="001262B1">
      <w:pPr>
        <w:spacing w:after="0" w:line="240" w:lineRule="auto"/>
      </w:pPr>
      <w:r>
        <w:separator/>
      </w:r>
    </w:p>
  </w:footnote>
  <w:footnote w:type="continuationSeparator" w:id="0">
    <w:p w:rsidR="007A6472" w:rsidRDefault="007A6472" w:rsidP="0012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164"/>
    <w:multiLevelType w:val="multilevel"/>
    <w:tmpl w:val="BDF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0665A"/>
    <w:multiLevelType w:val="multilevel"/>
    <w:tmpl w:val="B8F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5163F"/>
    <w:multiLevelType w:val="multilevel"/>
    <w:tmpl w:val="4C8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C36FA"/>
    <w:multiLevelType w:val="multilevel"/>
    <w:tmpl w:val="893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E7261"/>
    <w:multiLevelType w:val="multilevel"/>
    <w:tmpl w:val="9B7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E4862"/>
    <w:multiLevelType w:val="multilevel"/>
    <w:tmpl w:val="3D2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05A2F"/>
    <w:multiLevelType w:val="multilevel"/>
    <w:tmpl w:val="21B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E1EEB"/>
    <w:multiLevelType w:val="hybridMultilevel"/>
    <w:tmpl w:val="7DC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A4B6D"/>
    <w:multiLevelType w:val="multilevel"/>
    <w:tmpl w:val="D426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047323"/>
    <w:multiLevelType w:val="multilevel"/>
    <w:tmpl w:val="CCB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A5F05"/>
    <w:multiLevelType w:val="hybridMultilevel"/>
    <w:tmpl w:val="0D1E8D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C34EBE"/>
    <w:multiLevelType w:val="hybridMultilevel"/>
    <w:tmpl w:val="1E3072B4"/>
    <w:lvl w:ilvl="0" w:tplc="84426D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D327C9"/>
    <w:multiLevelType w:val="hybridMultilevel"/>
    <w:tmpl w:val="C2D4DFC8"/>
    <w:lvl w:ilvl="0" w:tplc="84426D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23662FA"/>
    <w:multiLevelType w:val="multilevel"/>
    <w:tmpl w:val="AC94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F05F4"/>
    <w:multiLevelType w:val="multilevel"/>
    <w:tmpl w:val="1E1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54BB7"/>
    <w:multiLevelType w:val="multilevel"/>
    <w:tmpl w:val="050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A3A29"/>
    <w:multiLevelType w:val="multilevel"/>
    <w:tmpl w:val="CB3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C276F"/>
    <w:multiLevelType w:val="multilevel"/>
    <w:tmpl w:val="30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51224"/>
    <w:multiLevelType w:val="hybridMultilevel"/>
    <w:tmpl w:val="5F10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C5DF2"/>
    <w:multiLevelType w:val="multilevel"/>
    <w:tmpl w:val="D32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355070"/>
    <w:multiLevelType w:val="multilevel"/>
    <w:tmpl w:val="5FF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47E5D"/>
    <w:multiLevelType w:val="hybridMultilevel"/>
    <w:tmpl w:val="336051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2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17"/>
  </w:num>
  <w:num w:numId="10">
    <w:abstractNumId w:val="4"/>
  </w:num>
  <w:num w:numId="11">
    <w:abstractNumId w:val="15"/>
  </w:num>
  <w:num w:numId="12">
    <w:abstractNumId w:val="16"/>
  </w:num>
  <w:num w:numId="13">
    <w:abstractNumId w:val="6"/>
  </w:num>
  <w:num w:numId="14">
    <w:abstractNumId w:val="5"/>
  </w:num>
  <w:num w:numId="15">
    <w:abstractNumId w:val="21"/>
  </w:num>
  <w:num w:numId="16">
    <w:abstractNumId w:val="8"/>
  </w:num>
  <w:num w:numId="17">
    <w:abstractNumId w:val="14"/>
  </w:num>
  <w:num w:numId="18">
    <w:abstractNumId w:val="20"/>
  </w:num>
  <w:num w:numId="19">
    <w:abstractNumId w:val="10"/>
  </w:num>
  <w:num w:numId="20">
    <w:abstractNumId w:val="2"/>
  </w:num>
  <w:num w:numId="21">
    <w:abstractNumId w:val="18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758"/>
    <w:rsid w:val="00003EEB"/>
    <w:rsid w:val="00005AA7"/>
    <w:rsid w:val="0000720E"/>
    <w:rsid w:val="000107FD"/>
    <w:rsid w:val="00012EED"/>
    <w:rsid w:val="0001575C"/>
    <w:rsid w:val="00024E72"/>
    <w:rsid w:val="000310B9"/>
    <w:rsid w:val="00036087"/>
    <w:rsid w:val="00037B05"/>
    <w:rsid w:val="00046A63"/>
    <w:rsid w:val="00050AC2"/>
    <w:rsid w:val="00052878"/>
    <w:rsid w:val="00062494"/>
    <w:rsid w:val="00063A30"/>
    <w:rsid w:val="00066A4E"/>
    <w:rsid w:val="00067ABB"/>
    <w:rsid w:val="0007022C"/>
    <w:rsid w:val="000702C1"/>
    <w:rsid w:val="00070AB7"/>
    <w:rsid w:val="0007108D"/>
    <w:rsid w:val="00073D36"/>
    <w:rsid w:val="0007425E"/>
    <w:rsid w:val="000766D6"/>
    <w:rsid w:val="00077E8C"/>
    <w:rsid w:val="00080EE4"/>
    <w:rsid w:val="00085624"/>
    <w:rsid w:val="000954B3"/>
    <w:rsid w:val="000976C9"/>
    <w:rsid w:val="00097B9A"/>
    <w:rsid w:val="000A2CEB"/>
    <w:rsid w:val="000B1411"/>
    <w:rsid w:val="000B1969"/>
    <w:rsid w:val="000B637A"/>
    <w:rsid w:val="000C16CC"/>
    <w:rsid w:val="000C23DB"/>
    <w:rsid w:val="000C4E50"/>
    <w:rsid w:val="000C67D4"/>
    <w:rsid w:val="000C7435"/>
    <w:rsid w:val="000D3D0E"/>
    <w:rsid w:val="000D7C4E"/>
    <w:rsid w:val="000E04FB"/>
    <w:rsid w:val="000E0BCE"/>
    <w:rsid w:val="000E2892"/>
    <w:rsid w:val="000E3BC5"/>
    <w:rsid w:val="000E43F8"/>
    <w:rsid w:val="000F5163"/>
    <w:rsid w:val="001004E3"/>
    <w:rsid w:val="00104194"/>
    <w:rsid w:val="001223F6"/>
    <w:rsid w:val="00122CE5"/>
    <w:rsid w:val="0012370B"/>
    <w:rsid w:val="00124112"/>
    <w:rsid w:val="001253C2"/>
    <w:rsid w:val="001262B1"/>
    <w:rsid w:val="0013643D"/>
    <w:rsid w:val="00141C40"/>
    <w:rsid w:val="00144A12"/>
    <w:rsid w:val="00146461"/>
    <w:rsid w:val="00146654"/>
    <w:rsid w:val="001472CE"/>
    <w:rsid w:val="00153410"/>
    <w:rsid w:val="00153E07"/>
    <w:rsid w:val="00160802"/>
    <w:rsid w:val="00160946"/>
    <w:rsid w:val="00161BBB"/>
    <w:rsid w:val="0016392E"/>
    <w:rsid w:val="00175A77"/>
    <w:rsid w:val="00175D26"/>
    <w:rsid w:val="00181D40"/>
    <w:rsid w:val="00185601"/>
    <w:rsid w:val="00186559"/>
    <w:rsid w:val="00186C15"/>
    <w:rsid w:val="0019003E"/>
    <w:rsid w:val="00190C7D"/>
    <w:rsid w:val="00192A00"/>
    <w:rsid w:val="001A4BFD"/>
    <w:rsid w:val="001A5B3D"/>
    <w:rsid w:val="001A78E3"/>
    <w:rsid w:val="001A7D01"/>
    <w:rsid w:val="001B21F9"/>
    <w:rsid w:val="001B6A93"/>
    <w:rsid w:val="001B78DE"/>
    <w:rsid w:val="001C2125"/>
    <w:rsid w:val="001C68D9"/>
    <w:rsid w:val="001C7A05"/>
    <w:rsid w:val="001D1116"/>
    <w:rsid w:val="001D6A6A"/>
    <w:rsid w:val="001D7AA7"/>
    <w:rsid w:val="001E0EFA"/>
    <w:rsid w:val="001E3A02"/>
    <w:rsid w:val="001E3EEB"/>
    <w:rsid w:val="001E4449"/>
    <w:rsid w:val="001F13A6"/>
    <w:rsid w:val="001F3258"/>
    <w:rsid w:val="001F4DBF"/>
    <w:rsid w:val="001F6BA8"/>
    <w:rsid w:val="001F796F"/>
    <w:rsid w:val="00204D2C"/>
    <w:rsid w:val="002056F8"/>
    <w:rsid w:val="00212B17"/>
    <w:rsid w:val="0022063A"/>
    <w:rsid w:val="0023040D"/>
    <w:rsid w:val="00234164"/>
    <w:rsid w:val="002402D3"/>
    <w:rsid w:val="00241B94"/>
    <w:rsid w:val="0024202F"/>
    <w:rsid w:val="0024294F"/>
    <w:rsid w:val="00242DC4"/>
    <w:rsid w:val="002508CA"/>
    <w:rsid w:val="00250CF3"/>
    <w:rsid w:val="0025399D"/>
    <w:rsid w:val="002600C7"/>
    <w:rsid w:val="00260331"/>
    <w:rsid w:val="00263C94"/>
    <w:rsid w:val="00271164"/>
    <w:rsid w:val="002748B3"/>
    <w:rsid w:val="00274C90"/>
    <w:rsid w:val="00276CD3"/>
    <w:rsid w:val="00281997"/>
    <w:rsid w:val="00282B93"/>
    <w:rsid w:val="00283783"/>
    <w:rsid w:val="0029363D"/>
    <w:rsid w:val="00294FEB"/>
    <w:rsid w:val="00295918"/>
    <w:rsid w:val="002A04A1"/>
    <w:rsid w:val="002A04A8"/>
    <w:rsid w:val="002A158E"/>
    <w:rsid w:val="002A2728"/>
    <w:rsid w:val="002A5876"/>
    <w:rsid w:val="002A689A"/>
    <w:rsid w:val="002B13FE"/>
    <w:rsid w:val="002B494D"/>
    <w:rsid w:val="002B5C6D"/>
    <w:rsid w:val="002B70DB"/>
    <w:rsid w:val="002C367E"/>
    <w:rsid w:val="002C5827"/>
    <w:rsid w:val="002C68D4"/>
    <w:rsid w:val="002D1CAE"/>
    <w:rsid w:val="002D20D8"/>
    <w:rsid w:val="002E1341"/>
    <w:rsid w:val="002E2311"/>
    <w:rsid w:val="002E4D8E"/>
    <w:rsid w:val="002E4F67"/>
    <w:rsid w:val="002E507D"/>
    <w:rsid w:val="002F172A"/>
    <w:rsid w:val="002F6251"/>
    <w:rsid w:val="00302943"/>
    <w:rsid w:val="003037E1"/>
    <w:rsid w:val="00304924"/>
    <w:rsid w:val="00307017"/>
    <w:rsid w:val="00307911"/>
    <w:rsid w:val="00317D69"/>
    <w:rsid w:val="00321EC7"/>
    <w:rsid w:val="00330B2D"/>
    <w:rsid w:val="00331F81"/>
    <w:rsid w:val="003405E0"/>
    <w:rsid w:val="00343C47"/>
    <w:rsid w:val="00351C3E"/>
    <w:rsid w:val="0035227E"/>
    <w:rsid w:val="003525FD"/>
    <w:rsid w:val="00353B2B"/>
    <w:rsid w:val="00357C73"/>
    <w:rsid w:val="00362A92"/>
    <w:rsid w:val="00363084"/>
    <w:rsid w:val="00365710"/>
    <w:rsid w:val="003668EB"/>
    <w:rsid w:val="00376652"/>
    <w:rsid w:val="00380968"/>
    <w:rsid w:val="00381490"/>
    <w:rsid w:val="00381B80"/>
    <w:rsid w:val="00383EBF"/>
    <w:rsid w:val="00385CD5"/>
    <w:rsid w:val="00387849"/>
    <w:rsid w:val="00393A93"/>
    <w:rsid w:val="003A080E"/>
    <w:rsid w:val="003A0FD0"/>
    <w:rsid w:val="003A1554"/>
    <w:rsid w:val="003A33C7"/>
    <w:rsid w:val="003A4DEA"/>
    <w:rsid w:val="003B7E74"/>
    <w:rsid w:val="003C67BF"/>
    <w:rsid w:val="003C7398"/>
    <w:rsid w:val="003E4912"/>
    <w:rsid w:val="003E689E"/>
    <w:rsid w:val="003F1144"/>
    <w:rsid w:val="003F31A7"/>
    <w:rsid w:val="003F406E"/>
    <w:rsid w:val="003F6AAF"/>
    <w:rsid w:val="00400F18"/>
    <w:rsid w:val="00402B91"/>
    <w:rsid w:val="004133FC"/>
    <w:rsid w:val="00413819"/>
    <w:rsid w:val="004167EB"/>
    <w:rsid w:val="00420511"/>
    <w:rsid w:val="004209CC"/>
    <w:rsid w:val="0042167C"/>
    <w:rsid w:val="0042298D"/>
    <w:rsid w:val="00423157"/>
    <w:rsid w:val="00431BE7"/>
    <w:rsid w:val="004422E5"/>
    <w:rsid w:val="004428AA"/>
    <w:rsid w:val="00446883"/>
    <w:rsid w:val="0045176A"/>
    <w:rsid w:val="00452E4A"/>
    <w:rsid w:val="00457499"/>
    <w:rsid w:val="00462A13"/>
    <w:rsid w:val="004631BB"/>
    <w:rsid w:val="00465637"/>
    <w:rsid w:val="004852CC"/>
    <w:rsid w:val="00492BDA"/>
    <w:rsid w:val="004958B8"/>
    <w:rsid w:val="00495BA8"/>
    <w:rsid w:val="004965C0"/>
    <w:rsid w:val="00497892"/>
    <w:rsid w:val="004A1448"/>
    <w:rsid w:val="004A7452"/>
    <w:rsid w:val="004B7626"/>
    <w:rsid w:val="004C2EB7"/>
    <w:rsid w:val="004C39CB"/>
    <w:rsid w:val="004C549E"/>
    <w:rsid w:val="004D22B2"/>
    <w:rsid w:val="004D25C3"/>
    <w:rsid w:val="004D4836"/>
    <w:rsid w:val="004D5AC2"/>
    <w:rsid w:val="004E4CE6"/>
    <w:rsid w:val="004E626F"/>
    <w:rsid w:val="004E713F"/>
    <w:rsid w:val="004F33CD"/>
    <w:rsid w:val="004F5FEA"/>
    <w:rsid w:val="005009F0"/>
    <w:rsid w:val="00502310"/>
    <w:rsid w:val="00505F9C"/>
    <w:rsid w:val="0051058E"/>
    <w:rsid w:val="005153AD"/>
    <w:rsid w:val="0051633F"/>
    <w:rsid w:val="00521445"/>
    <w:rsid w:val="00521E54"/>
    <w:rsid w:val="00522E55"/>
    <w:rsid w:val="00532AE5"/>
    <w:rsid w:val="00532B5C"/>
    <w:rsid w:val="00533093"/>
    <w:rsid w:val="005356D2"/>
    <w:rsid w:val="005412BF"/>
    <w:rsid w:val="00541AC7"/>
    <w:rsid w:val="0054249A"/>
    <w:rsid w:val="00542AEC"/>
    <w:rsid w:val="00545225"/>
    <w:rsid w:val="0054622D"/>
    <w:rsid w:val="00546E23"/>
    <w:rsid w:val="00550D92"/>
    <w:rsid w:val="00550F2F"/>
    <w:rsid w:val="00557E9F"/>
    <w:rsid w:val="00560CAF"/>
    <w:rsid w:val="00563340"/>
    <w:rsid w:val="00565FF9"/>
    <w:rsid w:val="0057233D"/>
    <w:rsid w:val="005818E3"/>
    <w:rsid w:val="00583032"/>
    <w:rsid w:val="00584252"/>
    <w:rsid w:val="00584376"/>
    <w:rsid w:val="00587870"/>
    <w:rsid w:val="005878B5"/>
    <w:rsid w:val="00592BC9"/>
    <w:rsid w:val="00592EC7"/>
    <w:rsid w:val="00597ED0"/>
    <w:rsid w:val="005A057D"/>
    <w:rsid w:val="005A0C3F"/>
    <w:rsid w:val="005A4828"/>
    <w:rsid w:val="005A4EC7"/>
    <w:rsid w:val="005A50F7"/>
    <w:rsid w:val="005B0523"/>
    <w:rsid w:val="005C1A65"/>
    <w:rsid w:val="005C372F"/>
    <w:rsid w:val="005C50F0"/>
    <w:rsid w:val="005C5382"/>
    <w:rsid w:val="005C69F3"/>
    <w:rsid w:val="005D0A7B"/>
    <w:rsid w:val="005D0EAE"/>
    <w:rsid w:val="005D1372"/>
    <w:rsid w:val="005D2975"/>
    <w:rsid w:val="005D2F8F"/>
    <w:rsid w:val="005D3307"/>
    <w:rsid w:val="005E4C9C"/>
    <w:rsid w:val="005F009E"/>
    <w:rsid w:val="005F766E"/>
    <w:rsid w:val="006004D8"/>
    <w:rsid w:val="00601B2C"/>
    <w:rsid w:val="006044EA"/>
    <w:rsid w:val="00605C5F"/>
    <w:rsid w:val="00611054"/>
    <w:rsid w:val="00620D92"/>
    <w:rsid w:val="00621F99"/>
    <w:rsid w:val="0062219C"/>
    <w:rsid w:val="00624220"/>
    <w:rsid w:val="006245D2"/>
    <w:rsid w:val="0062512A"/>
    <w:rsid w:val="0062581D"/>
    <w:rsid w:val="0062761F"/>
    <w:rsid w:val="00630872"/>
    <w:rsid w:val="006329A1"/>
    <w:rsid w:val="00632F94"/>
    <w:rsid w:val="00635213"/>
    <w:rsid w:val="00635E21"/>
    <w:rsid w:val="00641A18"/>
    <w:rsid w:val="0064467B"/>
    <w:rsid w:val="006558D4"/>
    <w:rsid w:val="00656AE5"/>
    <w:rsid w:val="00657414"/>
    <w:rsid w:val="0065767B"/>
    <w:rsid w:val="00663565"/>
    <w:rsid w:val="00664103"/>
    <w:rsid w:val="0066451B"/>
    <w:rsid w:val="00667257"/>
    <w:rsid w:val="006703C0"/>
    <w:rsid w:val="006708E7"/>
    <w:rsid w:val="00671F58"/>
    <w:rsid w:val="00674216"/>
    <w:rsid w:val="00676777"/>
    <w:rsid w:val="00684D0D"/>
    <w:rsid w:val="00687C7C"/>
    <w:rsid w:val="00690706"/>
    <w:rsid w:val="006945AB"/>
    <w:rsid w:val="00696727"/>
    <w:rsid w:val="0069679A"/>
    <w:rsid w:val="006A1440"/>
    <w:rsid w:val="006A539A"/>
    <w:rsid w:val="006B3060"/>
    <w:rsid w:val="006B3790"/>
    <w:rsid w:val="006B5628"/>
    <w:rsid w:val="006C0BDC"/>
    <w:rsid w:val="006D26D1"/>
    <w:rsid w:val="006E4111"/>
    <w:rsid w:val="006E67A3"/>
    <w:rsid w:val="006F1452"/>
    <w:rsid w:val="006F31B6"/>
    <w:rsid w:val="00707DD4"/>
    <w:rsid w:val="007109A4"/>
    <w:rsid w:val="00710B63"/>
    <w:rsid w:val="00710C46"/>
    <w:rsid w:val="00711364"/>
    <w:rsid w:val="00712FDC"/>
    <w:rsid w:val="00714A37"/>
    <w:rsid w:val="0071535F"/>
    <w:rsid w:val="007258C0"/>
    <w:rsid w:val="00726E03"/>
    <w:rsid w:val="007301B8"/>
    <w:rsid w:val="0073341F"/>
    <w:rsid w:val="00734DD9"/>
    <w:rsid w:val="00735987"/>
    <w:rsid w:val="00737489"/>
    <w:rsid w:val="00740A9F"/>
    <w:rsid w:val="00742217"/>
    <w:rsid w:val="00743B8F"/>
    <w:rsid w:val="00753661"/>
    <w:rsid w:val="00754EBF"/>
    <w:rsid w:val="007570D1"/>
    <w:rsid w:val="0075779D"/>
    <w:rsid w:val="00767EB2"/>
    <w:rsid w:val="007709BF"/>
    <w:rsid w:val="0078188E"/>
    <w:rsid w:val="00786407"/>
    <w:rsid w:val="00790987"/>
    <w:rsid w:val="00794399"/>
    <w:rsid w:val="007A12D6"/>
    <w:rsid w:val="007A6472"/>
    <w:rsid w:val="007B1849"/>
    <w:rsid w:val="007C5265"/>
    <w:rsid w:val="007C793A"/>
    <w:rsid w:val="007D0EA2"/>
    <w:rsid w:val="007D2257"/>
    <w:rsid w:val="007D22FD"/>
    <w:rsid w:val="007D3158"/>
    <w:rsid w:val="007D3850"/>
    <w:rsid w:val="007D4799"/>
    <w:rsid w:val="007E5A14"/>
    <w:rsid w:val="007F01B7"/>
    <w:rsid w:val="007F0514"/>
    <w:rsid w:val="007F1FC5"/>
    <w:rsid w:val="007F3437"/>
    <w:rsid w:val="007F46BB"/>
    <w:rsid w:val="007F4841"/>
    <w:rsid w:val="007F57F5"/>
    <w:rsid w:val="007F5B35"/>
    <w:rsid w:val="00801CDA"/>
    <w:rsid w:val="00804D97"/>
    <w:rsid w:val="00805723"/>
    <w:rsid w:val="00805899"/>
    <w:rsid w:val="00806163"/>
    <w:rsid w:val="008076A1"/>
    <w:rsid w:val="00811BB8"/>
    <w:rsid w:val="00813563"/>
    <w:rsid w:val="008135F5"/>
    <w:rsid w:val="0081674D"/>
    <w:rsid w:val="00816FCE"/>
    <w:rsid w:val="00820E24"/>
    <w:rsid w:val="0082426D"/>
    <w:rsid w:val="0082550B"/>
    <w:rsid w:val="00830DA8"/>
    <w:rsid w:val="00831A2F"/>
    <w:rsid w:val="00833796"/>
    <w:rsid w:val="00835BD9"/>
    <w:rsid w:val="0084035B"/>
    <w:rsid w:val="00841B84"/>
    <w:rsid w:val="00844E03"/>
    <w:rsid w:val="0084768C"/>
    <w:rsid w:val="0084790C"/>
    <w:rsid w:val="008552F0"/>
    <w:rsid w:val="00855EC7"/>
    <w:rsid w:val="00860991"/>
    <w:rsid w:val="00862084"/>
    <w:rsid w:val="00862A99"/>
    <w:rsid w:val="00871614"/>
    <w:rsid w:val="00872712"/>
    <w:rsid w:val="00873329"/>
    <w:rsid w:val="00874FBB"/>
    <w:rsid w:val="008818FF"/>
    <w:rsid w:val="00883CD2"/>
    <w:rsid w:val="008846C8"/>
    <w:rsid w:val="00890AAC"/>
    <w:rsid w:val="00892DA0"/>
    <w:rsid w:val="00893D35"/>
    <w:rsid w:val="008971EC"/>
    <w:rsid w:val="008A14A1"/>
    <w:rsid w:val="008A2F13"/>
    <w:rsid w:val="008A2F50"/>
    <w:rsid w:val="008A36A3"/>
    <w:rsid w:val="008A70F5"/>
    <w:rsid w:val="008B1C39"/>
    <w:rsid w:val="008B29F1"/>
    <w:rsid w:val="008B3685"/>
    <w:rsid w:val="008C0A4A"/>
    <w:rsid w:val="008C35E7"/>
    <w:rsid w:val="008C5162"/>
    <w:rsid w:val="008C67D2"/>
    <w:rsid w:val="008D0F63"/>
    <w:rsid w:val="008D256E"/>
    <w:rsid w:val="008D445F"/>
    <w:rsid w:val="008E2CED"/>
    <w:rsid w:val="008E410C"/>
    <w:rsid w:val="008E43D6"/>
    <w:rsid w:val="008F1597"/>
    <w:rsid w:val="008F274F"/>
    <w:rsid w:val="00905D7D"/>
    <w:rsid w:val="00910DEA"/>
    <w:rsid w:val="00911B06"/>
    <w:rsid w:val="00913843"/>
    <w:rsid w:val="00920370"/>
    <w:rsid w:val="009224CD"/>
    <w:rsid w:val="00923F3F"/>
    <w:rsid w:val="00924440"/>
    <w:rsid w:val="00927F29"/>
    <w:rsid w:val="00930221"/>
    <w:rsid w:val="00931823"/>
    <w:rsid w:val="009435EB"/>
    <w:rsid w:val="009531A8"/>
    <w:rsid w:val="009533CF"/>
    <w:rsid w:val="0095657C"/>
    <w:rsid w:val="00965118"/>
    <w:rsid w:val="00966AD4"/>
    <w:rsid w:val="00967271"/>
    <w:rsid w:val="00971C3F"/>
    <w:rsid w:val="009824E8"/>
    <w:rsid w:val="00994559"/>
    <w:rsid w:val="00997246"/>
    <w:rsid w:val="009A1FDF"/>
    <w:rsid w:val="009A47F1"/>
    <w:rsid w:val="009A6EB7"/>
    <w:rsid w:val="009B5E4B"/>
    <w:rsid w:val="009C29FB"/>
    <w:rsid w:val="009C38E1"/>
    <w:rsid w:val="009D133A"/>
    <w:rsid w:val="009D62C1"/>
    <w:rsid w:val="009E09F9"/>
    <w:rsid w:val="009F1733"/>
    <w:rsid w:val="00A00CA7"/>
    <w:rsid w:val="00A00FF8"/>
    <w:rsid w:val="00A065D9"/>
    <w:rsid w:val="00A066FD"/>
    <w:rsid w:val="00A0709F"/>
    <w:rsid w:val="00A07FE4"/>
    <w:rsid w:val="00A215AA"/>
    <w:rsid w:val="00A23778"/>
    <w:rsid w:val="00A25C4F"/>
    <w:rsid w:val="00A30598"/>
    <w:rsid w:val="00A42451"/>
    <w:rsid w:val="00A47AD6"/>
    <w:rsid w:val="00A527CD"/>
    <w:rsid w:val="00A55541"/>
    <w:rsid w:val="00A67351"/>
    <w:rsid w:val="00A77684"/>
    <w:rsid w:val="00A827C6"/>
    <w:rsid w:val="00A82A1A"/>
    <w:rsid w:val="00A87341"/>
    <w:rsid w:val="00A87763"/>
    <w:rsid w:val="00A87779"/>
    <w:rsid w:val="00A901EC"/>
    <w:rsid w:val="00A90CCA"/>
    <w:rsid w:val="00A937F6"/>
    <w:rsid w:val="00A9465F"/>
    <w:rsid w:val="00A949F1"/>
    <w:rsid w:val="00A95E2D"/>
    <w:rsid w:val="00A96DDE"/>
    <w:rsid w:val="00AA05EC"/>
    <w:rsid w:val="00AA7245"/>
    <w:rsid w:val="00AB13C4"/>
    <w:rsid w:val="00AB53B7"/>
    <w:rsid w:val="00AC703B"/>
    <w:rsid w:val="00AD380F"/>
    <w:rsid w:val="00AD4A49"/>
    <w:rsid w:val="00AD77FB"/>
    <w:rsid w:val="00AD7CC6"/>
    <w:rsid w:val="00AE14EE"/>
    <w:rsid w:val="00AE1F81"/>
    <w:rsid w:val="00AE316A"/>
    <w:rsid w:val="00AE4564"/>
    <w:rsid w:val="00AE51AE"/>
    <w:rsid w:val="00AE63B4"/>
    <w:rsid w:val="00AF063E"/>
    <w:rsid w:val="00AF4E1F"/>
    <w:rsid w:val="00B01593"/>
    <w:rsid w:val="00B05A34"/>
    <w:rsid w:val="00B05E61"/>
    <w:rsid w:val="00B1138D"/>
    <w:rsid w:val="00B113BF"/>
    <w:rsid w:val="00B11CCD"/>
    <w:rsid w:val="00B14B6D"/>
    <w:rsid w:val="00B17526"/>
    <w:rsid w:val="00B1799E"/>
    <w:rsid w:val="00B22D29"/>
    <w:rsid w:val="00B2339D"/>
    <w:rsid w:val="00B23924"/>
    <w:rsid w:val="00B23CC3"/>
    <w:rsid w:val="00B25355"/>
    <w:rsid w:val="00B32A1A"/>
    <w:rsid w:val="00B33007"/>
    <w:rsid w:val="00B334EF"/>
    <w:rsid w:val="00B369A1"/>
    <w:rsid w:val="00B41A68"/>
    <w:rsid w:val="00B446D2"/>
    <w:rsid w:val="00B465F5"/>
    <w:rsid w:val="00B46940"/>
    <w:rsid w:val="00B5046C"/>
    <w:rsid w:val="00B53472"/>
    <w:rsid w:val="00B56FAB"/>
    <w:rsid w:val="00B60BC4"/>
    <w:rsid w:val="00B62A81"/>
    <w:rsid w:val="00B630C9"/>
    <w:rsid w:val="00B749B6"/>
    <w:rsid w:val="00B74AD3"/>
    <w:rsid w:val="00B80480"/>
    <w:rsid w:val="00B915BB"/>
    <w:rsid w:val="00B92758"/>
    <w:rsid w:val="00BA3670"/>
    <w:rsid w:val="00BA5E3D"/>
    <w:rsid w:val="00BA72A8"/>
    <w:rsid w:val="00BB02F9"/>
    <w:rsid w:val="00BB162F"/>
    <w:rsid w:val="00BB53C7"/>
    <w:rsid w:val="00BB627B"/>
    <w:rsid w:val="00BB74B9"/>
    <w:rsid w:val="00BD1884"/>
    <w:rsid w:val="00BD5918"/>
    <w:rsid w:val="00BE1C01"/>
    <w:rsid w:val="00BE21F4"/>
    <w:rsid w:val="00BF3C32"/>
    <w:rsid w:val="00BF3D53"/>
    <w:rsid w:val="00BF53B3"/>
    <w:rsid w:val="00BF6A39"/>
    <w:rsid w:val="00C01F7F"/>
    <w:rsid w:val="00C02BE1"/>
    <w:rsid w:val="00C02E48"/>
    <w:rsid w:val="00C16248"/>
    <w:rsid w:val="00C2068C"/>
    <w:rsid w:val="00C24CA0"/>
    <w:rsid w:val="00C26992"/>
    <w:rsid w:val="00C272BB"/>
    <w:rsid w:val="00C33A3E"/>
    <w:rsid w:val="00C4206F"/>
    <w:rsid w:val="00C47306"/>
    <w:rsid w:val="00C63D65"/>
    <w:rsid w:val="00C6526D"/>
    <w:rsid w:val="00C70E7F"/>
    <w:rsid w:val="00C70EB7"/>
    <w:rsid w:val="00C7635A"/>
    <w:rsid w:val="00C809BE"/>
    <w:rsid w:val="00C819A9"/>
    <w:rsid w:val="00C84B76"/>
    <w:rsid w:val="00C94619"/>
    <w:rsid w:val="00C94F5C"/>
    <w:rsid w:val="00C956BC"/>
    <w:rsid w:val="00C95DFB"/>
    <w:rsid w:val="00CA3F07"/>
    <w:rsid w:val="00CA45B3"/>
    <w:rsid w:val="00CA6270"/>
    <w:rsid w:val="00CA6F67"/>
    <w:rsid w:val="00CA7708"/>
    <w:rsid w:val="00CB3D1E"/>
    <w:rsid w:val="00CB3DCB"/>
    <w:rsid w:val="00CB7409"/>
    <w:rsid w:val="00CB7E49"/>
    <w:rsid w:val="00CC5AB7"/>
    <w:rsid w:val="00CC6628"/>
    <w:rsid w:val="00CD05D8"/>
    <w:rsid w:val="00CD42DE"/>
    <w:rsid w:val="00CE2068"/>
    <w:rsid w:val="00CE3393"/>
    <w:rsid w:val="00CE47BD"/>
    <w:rsid w:val="00CF685F"/>
    <w:rsid w:val="00D000F0"/>
    <w:rsid w:val="00D1411E"/>
    <w:rsid w:val="00D168FF"/>
    <w:rsid w:val="00D17AD1"/>
    <w:rsid w:val="00D20456"/>
    <w:rsid w:val="00D20CDA"/>
    <w:rsid w:val="00D22902"/>
    <w:rsid w:val="00D25666"/>
    <w:rsid w:val="00D334CF"/>
    <w:rsid w:val="00D35793"/>
    <w:rsid w:val="00D42C61"/>
    <w:rsid w:val="00D5157E"/>
    <w:rsid w:val="00D516AB"/>
    <w:rsid w:val="00D6096E"/>
    <w:rsid w:val="00D6125D"/>
    <w:rsid w:val="00D62259"/>
    <w:rsid w:val="00D629D0"/>
    <w:rsid w:val="00D637A4"/>
    <w:rsid w:val="00D66026"/>
    <w:rsid w:val="00D75CF3"/>
    <w:rsid w:val="00D821FB"/>
    <w:rsid w:val="00D84C0A"/>
    <w:rsid w:val="00D87E7E"/>
    <w:rsid w:val="00D87F67"/>
    <w:rsid w:val="00D95567"/>
    <w:rsid w:val="00D95D61"/>
    <w:rsid w:val="00D95FCB"/>
    <w:rsid w:val="00DA05C9"/>
    <w:rsid w:val="00DA2E11"/>
    <w:rsid w:val="00DA351F"/>
    <w:rsid w:val="00DA692C"/>
    <w:rsid w:val="00DA73EB"/>
    <w:rsid w:val="00DB38E6"/>
    <w:rsid w:val="00DB41BF"/>
    <w:rsid w:val="00DB557C"/>
    <w:rsid w:val="00DB6920"/>
    <w:rsid w:val="00DC160C"/>
    <w:rsid w:val="00DC4C40"/>
    <w:rsid w:val="00DC7D5D"/>
    <w:rsid w:val="00DD2792"/>
    <w:rsid w:val="00DD2F9C"/>
    <w:rsid w:val="00DD59C8"/>
    <w:rsid w:val="00DE247E"/>
    <w:rsid w:val="00DE2A44"/>
    <w:rsid w:val="00DF2239"/>
    <w:rsid w:val="00DF7074"/>
    <w:rsid w:val="00DF7A51"/>
    <w:rsid w:val="00E00DBA"/>
    <w:rsid w:val="00E12AE0"/>
    <w:rsid w:val="00E14E13"/>
    <w:rsid w:val="00E14EBD"/>
    <w:rsid w:val="00E24397"/>
    <w:rsid w:val="00E259C0"/>
    <w:rsid w:val="00E365BA"/>
    <w:rsid w:val="00E374E3"/>
    <w:rsid w:val="00E40EF7"/>
    <w:rsid w:val="00E42478"/>
    <w:rsid w:val="00E42592"/>
    <w:rsid w:val="00E439C1"/>
    <w:rsid w:val="00E46B9B"/>
    <w:rsid w:val="00E559B8"/>
    <w:rsid w:val="00E60D75"/>
    <w:rsid w:val="00E63F1B"/>
    <w:rsid w:val="00E64744"/>
    <w:rsid w:val="00E666FD"/>
    <w:rsid w:val="00E66C17"/>
    <w:rsid w:val="00E70AD6"/>
    <w:rsid w:val="00E75017"/>
    <w:rsid w:val="00E7628F"/>
    <w:rsid w:val="00E767DC"/>
    <w:rsid w:val="00E80B8C"/>
    <w:rsid w:val="00E82FBE"/>
    <w:rsid w:val="00E83FE3"/>
    <w:rsid w:val="00E91874"/>
    <w:rsid w:val="00E92BEB"/>
    <w:rsid w:val="00EA2EEC"/>
    <w:rsid w:val="00EB0D4E"/>
    <w:rsid w:val="00EB33FC"/>
    <w:rsid w:val="00EB5FE0"/>
    <w:rsid w:val="00EC34CF"/>
    <w:rsid w:val="00EC60B3"/>
    <w:rsid w:val="00EC7D0F"/>
    <w:rsid w:val="00ED1902"/>
    <w:rsid w:val="00EE0098"/>
    <w:rsid w:val="00EE01D9"/>
    <w:rsid w:val="00EE7144"/>
    <w:rsid w:val="00EF33F4"/>
    <w:rsid w:val="00F03483"/>
    <w:rsid w:val="00F03DC8"/>
    <w:rsid w:val="00F04235"/>
    <w:rsid w:val="00F050B4"/>
    <w:rsid w:val="00F050E4"/>
    <w:rsid w:val="00F11941"/>
    <w:rsid w:val="00F140BA"/>
    <w:rsid w:val="00F14D41"/>
    <w:rsid w:val="00F1513A"/>
    <w:rsid w:val="00F16788"/>
    <w:rsid w:val="00F30121"/>
    <w:rsid w:val="00F31339"/>
    <w:rsid w:val="00F31809"/>
    <w:rsid w:val="00F32A73"/>
    <w:rsid w:val="00F41B84"/>
    <w:rsid w:val="00F561A5"/>
    <w:rsid w:val="00F56702"/>
    <w:rsid w:val="00F602AB"/>
    <w:rsid w:val="00F619E9"/>
    <w:rsid w:val="00F62727"/>
    <w:rsid w:val="00F62E24"/>
    <w:rsid w:val="00F6532E"/>
    <w:rsid w:val="00F712EC"/>
    <w:rsid w:val="00F72535"/>
    <w:rsid w:val="00F72A27"/>
    <w:rsid w:val="00F757AD"/>
    <w:rsid w:val="00F842D4"/>
    <w:rsid w:val="00F93F47"/>
    <w:rsid w:val="00FA0A73"/>
    <w:rsid w:val="00FA38F2"/>
    <w:rsid w:val="00FA49BD"/>
    <w:rsid w:val="00FA6069"/>
    <w:rsid w:val="00FA66C8"/>
    <w:rsid w:val="00FB4B2A"/>
    <w:rsid w:val="00FB7F93"/>
    <w:rsid w:val="00FC16AD"/>
    <w:rsid w:val="00FC29A6"/>
    <w:rsid w:val="00FC3D5C"/>
    <w:rsid w:val="00FC54DC"/>
    <w:rsid w:val="00FD0F75"/>
    <w:rsid w:val="00FD36B8"/>
    <w:rsid w:val="00FD398E"/>
    <w:rsid w:val="00FD484C"/>
    <w:rsid w:val="00FD62E4"/>
    <w:rsid w:val="00FD6543"/>
    <w:rsid w:val="00FF2B0F"/>
    <w:rsid w:val="00FF4131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758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27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58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7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2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7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275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B9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B92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9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B92758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B92758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B92758"/>
  </w:style>
  <w:style w:type="paragraph" w:styleId="21">
    <w:name w:val="Body Text Indent 2"/>
    <w:basedOn w:val="a"/>
    <w:link w:val="22"/>
    <w:uiPriority w:val="99"/>
    <w:semiHidden/>
    <w:unhideWhenUsed/>
    <w:rsid w:val="00B92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27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758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B92758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B9275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B92758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B9275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B92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B92758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B92758"/>
    <w:rPr>
      <w:vertAlign w:val="superscript"/>
    </w:rPr>
  </w:style>
  <w:style w:type="character" w:customStyle="1" w:styleId="apple-converted-space">
    <w:name w:val="apple-converted-space"/>
    <w:basedOn w:val="a0"/>
    <w:rsid w:val="00B92758"/>
  </w:style>
  <w:style w:type="character" w:customStyle="1" w:styleId="FontStyle31">
    <w:name w:val="Font Style31"/>
    <w:basedOn w:val="a0"/>
    <w:rsid w:val="00B92758"/>
    <w:rPr>
      <w:rFonts w:ascii="Times New Roman" w:hAnsi="Times New Roman" w:cs="Times New Roman" w:hint="default"/>
    </w:rPr>
  </w:style>
  <w:style w:type="character" w:styleId="af7">
    <w:name w:val="Strong"/>
    <w:basedOn w:val="a0"/>
    <w:uiPriority w:val="22"/>
    <w:qFormat/>
    <w:rsid w:val="00B92758"/>
    <w:rPr>
      <w:b/>
      <w:bCs/>
    </w:rPr>
  </w:style>
  <w:style w:type="table" w:styleId="af8">
    <w:name w:val="Table Grid"/>
    <w:basedOn w:val="a1"/>
    <w:uiPriority w:val="59"/>
    <w:rsid w:val="0060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253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FF1F5"/>
                                <w:left w:val="single" w:sz="18" w:space="0" w:color="EFF1F5"/>
                                <w:bottom w:val="single" w:sz="18" w:space="0" w:color="EFF1F5"/>
                                <w:right w:val="single" w:sz="18" w:space="0" w:color="EFF1F5"/>
                              </w:divBdr>
                              <w:divsChild>
                                <w:div w:id="20499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7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6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0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0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7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60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18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1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3083959F7F133B0CBCC7141204F368A560411378A1931CE6A18C5F6A797B965D74A478EEF192B5d4Z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121C-42B7-4FF7-A6DF-959BC903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14</Pages>
  <Words>6138</Words>
  <Characters>34988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781</cp:revision>
  <cp:lastPrinted>2020-12-22T14:42:00Z</cp:lastPrinted>
  <dcterms:created xsi:type="dcterms:W3CDTF">2018-04-16T10:00:00Z</dcterms:created>
  <dcterms:modified xsi:type="dcterms:W3CDTF">2020-12-22T14:45:00Z</dcterms:modified>
</cp:coreProperties>
</file>