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Контрольно-счетная палата Суражского муниципального района</w:t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656A71" w:rsidRPr="00656A71" w:rsidRDefault="00656A71" w:rsidP="00656A71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908A6" w:rsidRDefault="000908A6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D2D" w:rsidRPr="00B50D2D" w:rsidRDefault="00B50D2D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D2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50D2D" w:rsidRPr="00B50D2D" w:rsidRDefault="00B50D2D" w:rsidP="00B50D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D2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B50D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внешней проверки </w:t>
      </w:r>
      <w:r w:rsidRPr="00B50D2D">
        <w:rPr>
          <w:rFonts w:ascii="Times New Roman" w:eastAsia="SimSun" w:hAnsi="Times New Roman" w:cs="Times New Roman"/>
          <w:b/>
          <w:bCs/>
          <w:spacing w:val="-6"/>
          <w:sz w:val="28"/>
          <w:szCs w:val="28"/>
        </w:rPr>
        <w:t xml:space="preserve">годового отчета </w:t>
      </w:r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исполнении бюджета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>Суражск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EA68CE">
        <w:rPr>
          <w:rFonts w:ascii="Times New Roman" w:eastAsia="Times New Roman" w:hAnsi="Times New Roman" w:cs="Times New Roman"/>
          <w:b/>
          <w:sz w:val="28"/>
          <w:szCs w:val="28"/>
        </w:rPr>
        <w:t xml:space="preserve">Суражского муниципального района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>Брянской области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3913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год».</w:t>
      </w:r>
    </w:p>
    <w:p w:rsidR="00B50D2D" w:rsidRDefault="00B50D2D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8A6" w:rsidRPr="00B50D2D" w:rsidRDefault="000908A6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D2D" w:rsidRDefault="00B50D2D" w:rsidP="00B50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D2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91374">
        <w:rPr>
          <w:rFonts w:ascii="Times New Roman" w:eastAsia="Calibri" w:hAnsi="Times New Roman" w:cs="Times New Roman"/>
          <w:sz w:val="28"/>
          <w:szCs w:val="28"/>
        </w:rPr>
        <w:t>2</w:t>
      </w:r>
      <w:r w:rsidR="006346CB" w:rsidRPr="006346CB">
        <w:rPr>
          <w:rFonts w:ascii="Times New Roman" w:eastAsia="Calibri" w:hAnsi="Times New Roman" w:cs="Times New Roman"/>
          <w:sz w:val="28"/>
          <w:szCs w:val="28"/>
        </w:rPr>
        <w:t>8</w:t>
      </w:r>
      <w:r w:rsidRPr="006346CB"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391374">
        <w:rPr>
          <w:rFonts w:ascii="Times New Roman" w:eastAsia="Calibri" w:hAnsi="Times New Roman" w:cs="Times New Roman"/>
          <w:sz w:val="28"/>
          <w:szCs w:val="28"/>
        </w:rPr>
        <w:t>3</w:t>
      </w:r>
      <w:r w:rsidRPr="006346C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50D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г. Сураж</w:t>
      </w:r>
    </w:p>
    <w:p w:rsidR="000908A6" w:rsidRPr="00B50D2D" w:rsidRDefault="000908A6" w:rsidP="00B50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0D2D" w:rsidRPr="00B50D2D" w:rsidRDefault="00B50D2D" w:rsidP="00B50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D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пункт 4 статьи 264.4 Бюджетного кодекса Российской Федерации, пункт 1.3.</w:t>
      </w:r>
      <w:r w:rsidR="00D65F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Суражского муниципального района на 202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>Положение «О Контрольно-счетной палате», принят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согласно решения Суражского районного Совета народных депутатов №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от 26.1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г., приказ № </w:t>
      </w:r>
      <w:r w:rsidR="003913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91374">
        <w:rPr>
          <w:rFonts w:ascii="Times New Roman" w:eastAsia="Times New Roman" w:hAnsi="Times New Roman" w:cs="Times New Roman"/>
          <w:sz w:val="28"/>
          <w:szCs w:val="28"/>
        </w:rPr>
        <w:t>31.0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>3.202</w:t>
      </w:r>
      <w:r w:rsidR="003913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0D2D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D719A" w:rsidRPr="00C94902" w:rsidRDefault="002D719A" w:rsidP="00C94902">
      <w:pPr>
        <w:tabs>
          <w:tab w:val="left" w:pos="72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Предмет экспертно-аналитического мероприятия: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 исполнении бюджета 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C94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содержащие информацию об исполнении бюджета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137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94902">
        <w:rPr>
          <w:rFonts w:ascii="Times New Roman" w:eastAsia="Calibri" w:hAnsi="Times New Roman" w:cs="Times New Roman"/>
          <w:sz w:val="28"/>
          <w:szCs w:val="28"/>
        </w:rPr>
        <w:t>.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9A" w:rsidRPr="00C94902" w:rsidRDefault="002D719A" w:rsidP="00C9490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94902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>Суражско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муниципального района 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C94902">
        <w:rPr>
          <w:rFonts w:ascii="Times New Roman" w:hAnsi="Times New Roman" w:cs="Times New Roman"/>
          <w:sz w:val="28"/>
          <w:szCs w:val="28"/>
        </w:rPr>
        <w:t>.</w:t>
      </w:r>
    </w:p>
    <w:p w:rsidR="002D719A" w:rsidRPr="00C94902" w:rsidRDefault="002D719A" w:rsidP="00D9319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0480">
        <w:rPr>
          <w:rFonts w:ascii="Times New Roman" w:hAnsi="Times New Roman" w:cs="Times New Roman"/>
          <w:b/>
          <w:sz w:val="28"/>
          <w:szCs w:val="28"/>
        </w:rPr>
        <w:t>В</w:t>
      </w:r>
      <w:r w:rsidRPr="00C94902">
        <w:rPr>
          <w:rFonts w:ascii="Times New Roman" w:hAnsi="Times New Roman" w:cs="Times New Roman"/>
          <w:b/>
          <w:sz w:val="28"/>
          <w:szCs w:val="28"/>
        </w:rPr>
        <w:t>опросы экспертно-аналитического мероприятия: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 Провести анализ исполнения бюджета в разрезе доходных источников.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4.2. Провести анализ исполнения бюджета по расходам: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разделам и подразделам бюджетной классификации;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ведомственной структуре расходов.</w:t>
      </w:r>
    </w:p>
    <w:p w:rsidR="008D1C21" w:rsidRDefault="008D1C21" w:rsidP="00D931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8D1C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дефицита (профицита) бюджета и источников финансирования дефицита бюджета.</w:t>
      </w:r>
    </w:p>
    <w:p w:rsidR="002D719A" w:rsidRPr="00C94902" w:rsidRDefault="002D719A" w:rsidP="00D9319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внутреннего долга муниципального образования.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дебиторской и кредиторской задолженности.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 нефинансовых активов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программной части бюджета.</w:t>
      </w:r>
    </w:p>
    <w:p w:rsidR="00D4149D" w:rsidRPr="00C94902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бюджетных учреждений.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B41B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проверку представленных форм бюджетной отчетности 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br/>
        <w:t>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2D719A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</w:t>
      </w:r>
      <w:r w:rsidR="00D77543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Провести сравнительный анализ итогов настоящей внешней проверки с результатами предыдущей внешней проверки.</w:t>
      </w:r>
    </w:p>
    <w:p w:rsidR="002D719A" w:rsidRPr="00C94902" w:rsidRDefault="002D719A" w:rsidP="00C94902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before="120"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5. Исследуемый период: </w:t>
      </w:r>
      <w:r w:rsidR="00C94902"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C16690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39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год.</w:t>
      </w:r>
    </w:p>
    <w:p w:rsidR="002D719A" w:rsidRPr="00C94902" w:rsidRDefault="002D719A" w:rsidP="002D719A">
      <w:pPr>
        <w:pStyle w:val="3"/>
        <w:spacing w:before="120" w:after="0"/>
        <w:ind w:left="0" w:firstLine="709"/>
        <w:jc w:val="both"/>
        <w:rPr>
          <w:spacing w:val="-10"/>
          <w:sz w:val="28"/>
          <w:szCs w:val="28"/>
        </w:rPr>
      </w:pPr>
      <w:r w:rsidRPr="00C94902">
        <w:rPr>
          <w:b/>
          <w:color w:val="000000"/>
          <w:spacing w:val="-6"/>
          <w:sz w:val="28"/>
          <w:szCs w:val="28"/>
        </w:rPr>
        <w:t xml:space="preserve">6. Сроки проведения </w:t>
      </w:r>
      <w:r w:rsidRPr="00C94902">
        <w:rPr>
          <w:b/>
          <w:spacing w:val="-6"/>
          <w:sz w:val="28"/>
          <w:szCs w:val="28"/>
        </w:rPr>
        <w:t>экспертно-аналитического мероприятия:</w:t>
      </w:r>
      <w:r w:rsidRPr="00C94902">
        <w:rPr>
          <w:spacing w:val="-6"/>
          <w:sz w:val="28"/>
          <w:szCs w:val="28"/>
        </w:rPr>
        <w:t xml:space="preserve"> основной этап </w:t>
      </w:r>
      <w:r w:rsidRPr="00C94902">
        <w:rPr>
          <w:sz w:val="28"/>
          <w:szCs w:val="28"/>
        </w:rPr>
        <w:t xml:space="preserve">с </w:t>
      </w:r>
      <w:r w:rsidR="00C94902" w:rsidRPr="00C94902">
        <w:rPr>
          <w:sz w:val="28"/>
          <w:szCs w:val="28"/>
        </w:rPr>
        <w:t>5 апреля</w:t>
      </w:r>
      <w:r w:rsidRPr="00C94902">
        <w:rPr>
          <w:sz w:val="28"/>
          <w:szCs w:val="28"/>
        </w:rPr>
        <w:t xml:space="preserve"> по </w:t>
      </w:r>
      <w:r w:rsidR="00C94902" w:rsidRPr="00C94902">
        <w:rPr>
          <w:sz w:val="28"/>
          <w:szCs w:val="28"/>
        </w:rPr>
        <w:t>2</w:t>
      </w:r>
      <w:r w:rsidR="00391374">
        <w:rPr>
          <w:sz w:val="28"/>
          <w:szCs w:val="28"/>
        </w:rPr>
        <w:t>4</w:t>
      </w:r>
      <w:r w:rsidR="00C94902" w:rsidRPr="00C94902">
        <w:rPr>
          <w:sz w:val="28"/>
          <w:szCs w:val="28"/>
        </w:rPr>
        <w:t xml:space="preserve"> апреля</w:t>
      </w:r>
      <w:r w:rsidRPr="00C94902">
        <w:rPr>
          <w:sz w:val="28"/>
          <w:szCs w:val="28"/>
        </w:rPr>
        <w:t xml:space="preserve"> 20</w:t>
      </w:r>
      <w:r w:rsidR="00C94902" w:rsidRPr="00C94902">
        <w:rPr>
          <w:sz w:val="28"/>
          <w:szCs w:val="28"/>
        </w:rPr>
        <w:t>2</w:t>
      </w:r>
      <w:r w:rsidR="00391374">
        <w:rPr>
          <w:sz w:val="28"/>
          <w:szCs w:val="28"/>
        </w:rPr>
        <w:t>3</w:t>
      </w:r>
      <w:r w:rsidRPr="00C94902">
        <w:rPr>
          <w:sz w:val="28"/>
          <w:szCs w:val="28"/>
        </w:rPr>
        <w:t xml:space="preserve"> года</w:t>
      </w:r>
      <w:r w:rsidRPr="00C94902">
        <w:rPr>
          <w:spacing w:val="-10"/>
          <w:sz w:val="28"/>
          <w:szCs w:val="28"/>
        </w:rPr>
        <w:t>.</w:t>
      </w:r>
    </w:p>
    <w:p w:rsidR="002D719A" w:rsidRPr="00C94902" w:rsidRDefault="002D719A" w:rsidP="00D93197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spacing w:val="-6"/>
          <w:sz w:val="28"/>
          <w:szCs w:val="28"/>
        </w:rPr>
        <w:t>7. Результаты экспертно-аналитического мероприятия:</w:t>
      </w:r>
    </w:p>
    <w:p w:rsidR="00656A71" w:rsidRPr="00656A71" w:rsidRDefault="00656A71" w:rsidP="00D93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Одновременно с годовым отчетом об исполнении бюджета были представлены: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Совета народных депутатов города Суража «Об утверждении  отчёта  об  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3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отчет об использовании бюджетных ассигнований  дорожного фонда поселения.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3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 соответствует статье 264.6. Бюджетного кодекса РФ. </w:t>
      </w:r>
    </w:p>
    <w:p w:rsidR="008A37B4" w:rsidRDefault="008A37B4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280D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3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Решением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от </w:t>
      </w:r>
      <w:r w:rsidR="004645D4">
        <w:rPr>
          <w:rFonts w:ascii="Times New Roman" w:eastAsia="Times New Roman" w:hAnsi="Times New Roman" w:cs="Times New Roman"/>
          <w:spacing w:val="-6"/>
          <w:sz w:val="28"/>
        </w:rPr>
        <w:t>22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.12.20</w:t>
      </w:r>
      <w:r w:rsidR="00853FCA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4645D4">
        <w:rPr>
          <w:rFonts w:ascii="Times New Roman" w:eastAsia="Times New Roman" w:hAnsi="Times New Roman" w:cs="Times New Roman"/>
          <w:spacing w:val="-6"/>
          <w:sz w:val="28"/>
        </w:rPr>
        <w:t>1</w:t>
      </w:r>
      <w:r w:rsidR="00853FC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г. №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4645D4">
        <w:rPr>
          <w:rFonts w:ascii="Times New Roman" w:eastAsia="Times New Roman" w:hAnsi="Times New Roman" w:cs="Times New Roman"/>
          <w:spacing w:val="-6"/>
          <w:sz w:val="28"/>
        </w:rPr>
        <w:t>83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на 20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4645D4">
        <w:rPr>
          <w:rFonts w:ascii="Times New Roman" w:eastAsia="Times New Roman" w:hAnsi="Times New Roman" w:cs="Times New Roman"/>
          <w:spacing w:val="-6"/>
          <w:sz w:val="28"/>
        </w:rPr>
        <w:t>2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год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и плановый период 202</w:t>
      </w:r>
      <w:r w:rsidR="004645D4">
        <w:rPr>
          <w:rFonts w:ascii="Times New Roman" w:eastAsia="Times New Roman" w:hAnsi="Times New Roman" w:cs="Times New Roman"/>
          <w:spacing w:val="-6"/>
          <w:sz w:val="28"/>
        </w:rPr>
        <w:t>3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и 202</w:t>
      </w:r>
      <w:r w:rsidR="004645D4">
        <w:rPr>
          <w:rFonts w:ascii="Times New Roman" w:eastAsia="Times New Roman" w:hAnsi="Times New Roman" w:cs="Times New Roman"/>
          <w:spacing w:val="-6"/>
          <w:sz w:val="28"/>
        </w:rPr>
        <w:t>4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годов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7615F1">
        <w:rPr>
          <w:rFonts w:ascii="Times New Roman" w:eastAsia="Times New Roman" w:hAnsi="Times New Roman" w:cs="Times New Roman"/>
          <w:sz w:val="28"/>
          <w:szCs w:val="28"/>
        </w:rPr>
        <w:t>558281,9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7615F1">
        <w:rPr>
          <w:rFonts w:ascii="Times New Roman" w:eastAsia="Times New Roman" w:hAnsi="Times New Roman" w:cs="Times New Roman"/>
          <w:sz w:val="28"/>
          <w:szCs w:val="28"/>
        </w:rPr>
        <w:t>558281,9 тыс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дефицит местного бюджета в сумме 0</w:t>
      </w:r>
      <w:r w:rsidR="00113AB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7615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182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в том числе: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653"/>
        <w:gridCol w:w="1907"/>
        <w:gridCol w:w="1908"/>
        <w:gridCol w:w="1909"/>
      </w:tblGrid>
      <w:tr w:rsidR="00FE19A0" w:rsidRPr="00656A71" w:rsidTr="00A85931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решения о бюджете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-), профицит (+)</w:t>
            </w:r>
          </w:p>
        </w:tc>
      </w:tr>
      <w:tr w:rsidR="00FE19A0" w:rsidRPr="00656A71" w:rsidTr="00A8593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A8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615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39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1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15F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A8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(первоначальный)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FE19A0" w:rsidRDefault="00A15E38" w:rsidP="00A1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558281,9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15E38" w:rsidP="00A1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558281,9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A6661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19A0" w:rsidRPr="00656A71" w:rsidTr="00A8593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A1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15E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15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5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  №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E3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15E38" w:rsidP="00A1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653992,3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15E38" w:rsidP="00A1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659535,6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4F71AA" w:rsidP="0006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5543,3</w:t>
            </w:r>
          </w:p>
        </w:tc>
      </w:tr>
      <w:tr w:rsidR="00FE19A0" w:rsidRPr="00656A71" w:rsidTr="00A85931"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06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63B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19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3B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B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063B52" w:rsidP="0006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674847,6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063B52" w:rsidP="0006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680391,0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3D5EF8" w:rsidP="0006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3B52">
              <w:rPr>
                <w:rFonts w:ascii="Times New Roman" w:eastAsia="Times New Roman" w:hAnsi="Times New Roman" w:cs="Times New Roman"/>
                <w:sz w:val="24"/>
                <w:szCs w:val="24"/>
              </w:rPr>
              <w:t>5543,3</w:t>
            </w:r>
          </w:p>
        </w:tc>
      </w:tr>
      <w:tr w:rsidR="00984D8F" w:rsidRPr="00656A71" w:rsidTr="00A85931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Default="00984D8F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Pr="002327ED" w:rsidRDefault="00984D8F" w:rsidP="008C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ED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11.11.2022г. № 101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Default="00984D8F" w:rsidP="00D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394778,4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Default="00984D8F" w:rsidP="00D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4003218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Default="00984D8F" w:rsidP="00D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-5543,3</w:t>
            </w:r>
          </w:p>
        </w:tc>
      </w:tr>
      <w:tr w:rsidR="003B7094" w:rsidRPr="00656A71" w:rsidTr="00A85931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984D8F" w:rsidP="0098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3B7094" w:rsidP="001D0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1D0ED4"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73C9"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50009"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0ED4"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1D0ED4"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DB0DA0" w:rsidP="00D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396224,2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DB0DA0" w:rsidP="00D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380538,5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DB0DA0" w:rsidP="00D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+15685,8</w:t>
            </w:r>
          </w:p>
        </w:tc>
      </w:tr>
    </w:tbl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Изменения в Решение о бюджете были связаны необходимостью отражения в доходах и расходах бюджета поселения  межбюджетных трансфертов, полученных из других бюджетов бюджетной системы Российской Федерации;  поступлением в отчетном периоде собственных доходов сверх утвержденного плана и др.</w:t>
      </w:r>
    </w:p>
    <w:p w:rsidR="00656A71" w:rsidRPr="00656A71" w:rsidRDefault="00FD11CB" w:rsidP="00C14D2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оответствие принципу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всех изменений бюджета в  Сборнике </w:t>
      </w:r>
      <w:proofErr w:type="gramStart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пальн</w:t>
      </w:r>
      <w:r w:rsidR="00872D3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-правовых</w:t>
      </w:r>
      <w:proofErr w:type="gramEnd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актов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Изменения основных характеристик расходной  и доходной части бюджета поселения 20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7D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влияли на сбалансированность и устойчивость бюджетной системы поселения, сокращение дефицита бюджета, адресного решения социальных проблем.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на основании положений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актах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отношения.</w:t>
      </w:r>
    </w:p>
    <w:p w:rsidR="00C14D2B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администрацию Суражского района. 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При исполнении бюджета соблюдался принцип единства кассы и подведомственности финансирования расходов.</w:t>
      </w:r>
    </w:p>
    <w:p w:rsidR="00656A71" w:rsidRPr="00656A71" w:rsidRDefault="00C14D2B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л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осуществлялось на основе сводной бюджетной росписи и кассового плана.</w:t>
      </w:r>
    </w:p>
    <w:p w:rsid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администрацией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063422" w:rsidRPr="00A44CC9" w:rsidRDefault="00063422" w:rsidP="00A44CC9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7FB1">
        <w:rPr>
          <w:rFonts w:ascii="Times New Roman" w:hAnsi="Times New Roman" w:cs="Times New Roman"/>
          <w:sz w:val="28"/>
          <w:szCs w:val="28"/>
        </w:rPr>
        <w:t xml:space="preserve">С учетом внесенных в бюджет изменений </w:t>
      </w:r>
      <w:r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>уточненный бюджет поселения на 20</w:t>
      </w:r>
      <w:r w:rsidR="00FB6B65"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3B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</w:t>
      </w:r>
      <w:r w:rsidRPr="00727FB1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D0ED4">
        <w:rPr>
          <w:rFonts w:ascii="Times New Roman" w:hAnsi="Times New Roman" w:cs="Times New Roman"/>
          <w:sz w:val="28"/>
          <w:szCs w:val="28"/>
        </w:rPr>
        <w:t xml:space="preserve">396224,2 </w:t>
      </w:r>
      <w:r w:rsidRPr="00727FB1">
        <w:rPr>
          <w:rFonts w:ascii="Times New Roman" w:hAnsi="Times New Roman" w:cs="Times New Roman"/>
          <w:sz w:val="28"/>
          <w:szCs w:val="28"/>
        </w:rPr>
        <w:t>тыс. рублей, по расходам в</w:t>
      </w:r>
      <w:r w:rsidRPr="00727F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FB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D0ED4">
        <w:rPr>
          <w:rFonts w:ascii="Times New Roman" w:hAnsi="Times New Roman" w:cs="Times New Roman"/>
          <w:sz w:val="28"/>
          <w:szCs w:val="28"/>
        </w:rPr>
        <w:t>380538,5</w:t>
      </w:r>
      <w:r w:rsidRPr="00727FB1">
        <w:rPr>
          <w:rFonts w:ascii="Times New Roman" w:hAnsi="Times New Roman" w:cs="Times New Roman"/>
          <w:sz w:val="28"/>
          <w:szCs w:val="28"/>
        </w:rPr>
        <w:t xml:space="preserve"> тыс. рублей, с </w:t>
      </w:r>
      <w:r w:rsidR="001D0ED4">
        <w:rPr>
          <w:rFonts w:ascii="Times New Roman" w:hAnsi="Times New Roman" w:cs="Times New Roman"/>
          <w:sz w:val="28"/>
          <w:szCs w:val="28"/>
        </w:rPr>
        <w:t>про</w:t>
      </w:r>
      <w:r w:rsidRPr="00727FB1">
        <w:rPr>
          <w:rFonts w:ascii="Times New Roman" w:hAnsi="Times New Roman" w:cs="Times New Roman"/>
          <w:sz w:val="28"/>
          <w:szCs w:val="28"/>
        </w:rPr>
        <w:t xml:space="preserve">фицитом в объеме </w:t>
      </w:r>
      <w:r w:rsidR="001D0ED4">
        <w:rPr>
          <w:rFonts w:ascii="Times New Roman" w:hAnsi="Times New Roman" w:cs="Times New Roman"/>
          <w:sz w:val="28"/>
          <w:szCs w:val="28"/>
        </w:rPr>
        <w:t>15685,7</w:t>
      </w:r>
      <w:r w:rsidRPr="00727FB1">
        <w:rPr>
          <w:rFonts w:ascii="Times New Roman" w:hAnsi="Times New Roman" w:cs="Times New Roman"/>
          <w:sz w:val="28"/>
          <w:szCs w:val="28"/>
        </w:rPr>
        <w:t> тыс. рублей.</w:t>
      </w:r>
      <w:r w:rsidRPr="00727FB1">
        <w:rPr>
          <w:sz w:val="28"/>
          <w:szCs w:val="28"/>
        </w:rPr>
        <w:t xml:space="preserve"> 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27FB1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 xml:space="preserve">сравнении с первоначальными </w:t>
      </w:r>
      <w:r w:rsidRPr="001D0ED4">
        <w:rPr>
          <w:rFonts w:ascii="Times New Roman" w:hAnsi="Times New Roman" w:cs="Times New Roman"/>
          <w:spacing w:val="-2"/>
          <w:sz w:val="28"/>
          <w:szCs w:val="28"/>
        </w:rPr>
        <w:t>параметрами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 xml:space="preserve"> уточненные показатели доходов бюджета увеличены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1B042B">
        <w:rPr>
          <w:rFonts w:ascii="Times New Roman" w:hAnsi="Times New Roman" w:cs="Times New Roman"/>
          <w:spacing w:val="-6"/>
          <w:sz w:val="28"/>
          <w:szCs w:val="28"/>
        </w:rPr>
        <w:t>162057,7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тыс. рублей, или на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066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042B">
        <w:rPr>
          <w:rFonts w:ascii="Times New Roman" w:hAnsi="Times New Roman" w:cs="Times New Roman"/>
          <w:spacing w:val="-6"/>
          <w:sz w:val="28"/>
          <w:szCs w:val="28"/>
        </w:rPr>
        <w:t>9,0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 %, 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что обусловлено ростом налоговых, неналоговых и безвозмездных поступлений</w:t>
      </w:r>
      <w:r w:rsidR="00F614FE" w:rsidRPr="00F614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14FE"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расходов  на </w:t>
      </w:r>
      <w:r w:rsidR="00F614FE">
        <w:rPr>
          <w:rFonts w:ascii="Times New Roman" w:hAnsi="Times New Roman" w:cs="Times New Roman"/>
          <w:spacing w:val="-6"/>
          <w:sz w:val="28"/>
          <w:szCs w:val="28"/>
        </w:rPr>
        <w:t>162057,7</w:t>
      </w:r>
      <w:r w:rsidR="00F614FE" w:rsidRPr="00727FB1">
        <w:rPr>
          <w:rFonts w:ascii="Times New Roman" w:hAnsi="Times New Roman" w:cs="Times New Roman"/>
          <w:spacing w:val="-2"/>
          <w:sz w:val="28"/>
          <w:szCs w:val="28"/>
        </w:rPr>
        <w:t xml:space="preserve"> тыс. рублей, или на </w:t>
      </w:r>
      <w:r w:rsidR="00F614FE">
        <w:rPr>
          <w:rFonts w:ascii="Times New Roman" w:hAnsi="Times New Roman" w:cs="Times New Roman"/>
          <w:spacing w:val="-2"/>
          <w:sz w:val="28"/>
          <w:szCs w:val="28"/>
        </w:rPr>
        <w:t>29,0</w:t>
      </w:r>
      <w:r w:rsidR="00F614FE" w:rsidRPr="00727FB1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56A71" w:rsidRPr="00656A71" w:rsidRDefault="00656A71" w:rsidP="00A4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0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 </w:t>
      </w:r>
      <w:r w:rsidR="008C70E9" w:rsidRPr="003E405A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3E405A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 w:rsidRPr="003E405A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27FB1" w:rsidRPr="003E40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709" w:rsidRPr="003E40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243709" w:rsidRPr="003E405A">
        <w:rPr>
          <w:rFonts w:ascii="Times New Roman" w:eastAsia="Times New Roman" w:hAnsi="Times New Roman" w:cs="Times New Roman"/>
          <w:sz w:val="28"/>
          <w:szCs w:val="28"/>
        </w:rPr>
        <w:t>396661,9</w:t>
      </w:r>
      <w:r w:rsidR="00230667" w:rsidRPr="003E4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3E40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1A0CF7" w:rsidRPr="003E405A">
        <w:rPr>
          <w:rFonts w:ascii="Times New Roman" w:eastAsia="Times New Roman" w:hAnsi="Times New Roman" w:cs="Times New Roman"/>
          <w:sz w:val="28"/>
          <w:szCs w:val="28"/>
        </w:rPr>
        <w:t>100,1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EF55F5" w:rsidRPr="003E405A">
        <w:rPr>
          <w:rFonts w:ascii="Times New Roman" w:eastAsia="Times New Roman" w:hAnsi="Times New Roman" w:cs="Times New Roman"/>
          <w:sz w:val="28"/>
          <w:szCs w:val="28"/>
        </w:rPr>
        <w:t>373775,0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на </w:t>
      </w:r>
      <w:r w:rsidR="00EF55F5" w:rsidRPr="003E405A">
        <w:rPr>
          <w:rFonts w:ascii="Times New Roman" w:eastAsia="Times New Roman" w:hAnsi="Times New Roman" w:cs="Times New Roman"/>
          <w:sz w:val="28"/>
          <w:szCs w:val="28"/>
        </w:rPr>
        <w:t>98,2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E40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EF55F5" w:rsidRPr="003E405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873DB" w:rsidRPr="003E405A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EF55F5" w:rsidRPr="003E405A">
        <w:rPr>
          <w:rFonts w:ascii="Times New Roman" w:eastAsia="Times New Roman" w:hAnsi="Times New Roman" w:cs="Times New Roman"/>
          <w:sz w:val="28"/>
          <w:szCs w:val="28"/>
        </w:rPr>
        <w:t>22886,9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49"/>
        <w:gridCol w:w="1295"/>
        <w:gridCol w:w="1257"/>
        <w:gridCol w:w="1018"/>
        <w:gridCol w:w="1219"/>
        <w:gridCol w:w="1191"/>
        <w:gridCol w:w="16"/>
      </w:tblGrid>
      <w:tr w:rsidR="00752089" w:rsidRPr="00656A71" w:rsidTr="005D6C3E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1F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24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ждено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(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24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года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F24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2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A7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2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F24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2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A7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2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089" w:rsidRPr="00656A71" w:rsidTr="005D6C3E">
        <w:trPr>
          <w:trHeight w:val="1017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983" w:rsidRPr="00656A71" w:rsidTr="005D6C3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31A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68892,8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396224,2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396661,9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DF1983" w:rsidRDefault="00DF19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DF1983" w:rsidRDefault="00DF19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327769,1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DF1983" w:rsidRDefault="00EF55F5" w:rsidP="00EF55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5,8 раза</w:t>
            </w:r>
          </w:p>
        </w:tc>
        <w:tc>
          <w:tcPr>
            <w:tcW w:w="16" w:type="dxa"/>
            <w:vAlign w:val="center"/>
            <w:hideMark/>
          </w:tcPr>
          <w:p w:rsidR="00DF1983" w:rsidRPr="00656A71" w:rsidRDefault="00DF1983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983" w:rsidRPr="00656A71" w:rsidTr="005D6C3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31A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70882,9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B52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380538,5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B52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373775,0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DF1983" w:rsidRDefault="00DF19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DF1983" w:rsidRDefault="00DF19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302892,1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DF1983" w:rsidRDefault="00EF55F5" w:rsidP="00EF55F5">
            <w:pPr>
              <w:tabs>
                <w:tab w:val="center" w:pos="487"/>
                <w:tab w:val="righ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 5,3 раза</w:t>
            </w:r>
          </w:p>
        </w:tc>
        <w:tc>
          <w:tcPr>
            <w:tcW w:w="16" w:type="dxa"/>
            <w:vAlign w:val="center"/>
            <w:hideMark/>
          </w:tcPr>
          <w:p w:rsidR="00DF1983" w:rsidRPr="00656A71" w:rsidRDefault="00DF1983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983" w:rsidRPr="00656A71" w:rsidTr="005D6C3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31A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-1990,1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+15685,7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656A71" w:rsidRDefault="00DF198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+22886,9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DF1983" w:rsidRDefault="00DF19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983" w:rsidRPr="00DF1983" w:rsidRDefault="00DF19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83" w:rsidRPr="00DF1983" w:rsidRDefault="00DF19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-1150,0</w:t>
            </w:r>
          </w:p>
        </w:tc>
        <w:tc>
          <w:tcPr>
            <w:tcW w:w="16" w:type="dxa"/>
            <w:vAlign w:val="center"/>
            <w:hideMark/>
          </w:tcPr>
          <w:p w:rsidR="00DF1983" w:rsidRPr="00656A71" w:rsidRDefault="00DF1983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A71" w:rsidRPr="00656A71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55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EF55F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F55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F55F5">
        <w:rPr>
          <w:rFonts w:ascii="Times New Roman" w:eastAsia="Times New Roman" w:hAnsi="Times New Roman" w:cs="Times New Roman"/>
          <w:sz w:val="28"/>
          <w:szCs w:val="28"/>
        </w:rPr>
        <w:t>327769,1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F55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36B5">
        <w:rPr>
          <w:rFonts w:ascii="Times New Roman" w:eastAsia="Times New Roman" w:hAnsi="Times New Roman" w:cs="Times New Roman"/>
          <w:sz w:val="28"/>
          <w:szCs w:val="28"/>
        </w:rPr>
        <w:t xml:space="preserve">5,8 раза 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>в основном за счет безвозмездных поступлений и налоговых 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, объем расходов</w:t>
      </w:r>
      <w:r w:rsidR="000943BF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403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4030E">
        <w:rPr>
          <w:rFonts w:ascii="Times New Roman" w:eastAsia="Times New Roman" w:hAnsi="Times New Roman" w:cs="Times New Roman"/>
          <w:sz w:val="28"/>
          <w:szCs w:val="28"/>
        </w:rPr>
        <w:t>302892,1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54030E">
        <w:rPr>
          <w:rFonts w:ascii="Times New Roman" w:eastAsia="Times New Roman" w:hAnsi="Times New Roman" w:cs="Times New Roman"/>
          <w:sz w:val="28"/>
          <w:szCs w:val="28"/>
        </w:rPr>
        <w:t>в 5,3 раза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7C264A" w:rsidRPr="005B38C2" w:rsidRDefault="007C264A" w:rsidP="006308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C2">
        <w:rPr>
          <w:rFonts w:ascii="Times New Roman" w:hAnsi="Times New Roman" w:cs="Times New Roman"/>
          <w:sz w:val="28"/>
          <w:szCs w:val="28"/>
        </w:rPr>
        <w:t xml:space="preserve">Остаток средств на счете бюджета </w:t>
      </w:r>
      <w:r w:rsidR="006A1AAE">
        <w:rPr>
          <w:rFonts w:ascii="Times New Roman" w:hAnsi="Times New Roman" w:cs="Times New Roman"/>
          <w:sz w:val="28"/>
          <w:szCs w:val="28"/>
        </w:rPr>
        <w:t xml:space="preserve">Суражского городского </w:t>
      </w:r>
      <w:r w:rsidRPr="005B38C2">
        <w:rPr>
          <w:rFonts w:ascii="Times New Roman" w:hAnsi="Times New Roman" w:cs="Times New Roman"/>
          <w:sz w:val="28"/>
          <w:szCs w:val="28"/>
        </w:rPr>
        <w:t>поселения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</w:t>
      </w:r>
      <w:r w:rsidR="006A1AAE">
        <w:rPr>
          <w:rFonts w:ascii="Times New Roman" w:hAnsi="Times New Roman" w:cs="Times New Roman"/>
          <w:sz w:val="28"/>
          <w:szCs w:val="28"/>
        </w:rPr>
        <w:t>2</w:t>
      </w:r>
      <w:r w:rsidR="00E43AD6">
        <w:rPr>
          <w:rFonts w:ascii="Times New Roman" w:hAnsi="Times New Roman" w:cs="Times New Roman"/>
          <w:sz w:val="28"/>
          <w:szCs w:val="28"/>
        </w:rPr>
        <w:t>2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 xml:space="preserve">года составлял </w:t>
      </w:r>
      <w:r w:rsidR="00E43AD6">
        <w:rPr>
          <w:rFonts w:ascii="Times New Roman" w:hAnsi="Times New Roman" w:cs="Times New Roman"/>
          <w:sz w:val="28"/>
          <w:szCs w:val="28"/>
        </w:rPr>
        <w:t>5740,8</w:t>
      </w:r>
      <w:r w:rsidRPr="005B38C2">
        <w:rPr>
          <w:rFonts w:ascii="Times New Roman" w:hAnsi="Times New Roman" w:cs="Times New Roman"/>
          <w:sz w:val="28"/>
          <w:szCs w:val="28"/>
        </w:rPr>
        <w:t> тыс. рублей,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01.01.202</w:t>
      </w:r>
      <w:r w:rsidR="00E43AD6">
        <w:rPr>
          <w:rFonts w:ascii="Times New Roman" w:hAnsi="Times New Roman" w:cs="Times New Roman"/>
          <w:sz w:val="28"/>
          <w:szCs w:val="28"/>
        </w:rPr>
        <w:t>3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E43AD6">
        <w:rPr>
          <w:rFonts w:ascii="Times New Roman" w:hAnsi="Times New Roman" w:cs="Times New Roman"/>
          <w:sz w:val="28"/>
          <w:szCs w:val="28"/>
        </w:rPr>
        <w:t>28627,8</w:t>
      </w:r>
      <w:r w:rsidRPr="005B38C2">
        <w:rPr>
          <w:rFonts w:ascii="Times New Roman" w:hAnsi="Times New Roman" w:cs="Times New Roman"/>
          <w:sz w:val="28"/>
          <w:szCs w:val="28"/>
        </w:rPr>
        <w:t xml:space="preserve"> тыс. рублей. </w:t>
      </w:r>
    </w:p>
    <w:p w:rsidR="00A37C9A" w:rsidRPr="0093182A" w:rsidRDefault="00656A71" w:rsidP="0093182A">
      <w:pPr>
        <w:spacing w:before="120"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7C9A" w:rsidRPr="0093182A">
        <w:rPr>
          <w:rFonts w:ascii="Times New Roman" w:hAnsi="Times New Roman" w:cs="Times New Roman"/>
          <w:b/>
          <w:sz w:val="28"/>
          <w:szCs w:val="28"/>
        </w:rPr>
        <w:t>7.1. Провести анализ исполнения бюджета в разрезе доходных источников.</w:t>
      </w:r>
    </w:p>
    <w:p w:rsidR="00A37C9A" w:rsidRPr="0093182A" w:rsidRDefault="00A37C9A" w:rsidP="009318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182A">
        <w:rPr>
          <w:rFonts w:ascii="Times New Roman" w:hAnsi="Times New Roman" w:cs="Times New Roman"/>
          <w:sz w:val="28"/>
          <w:szCs w:val="28"/>
        </w:rPr>
        <w:t xml:space="preserve">Доходная часть бюджета поселения исполнена в сумме </w:t>
      </w:r>
      <w:r w:rsidR="00FF6423">
        <w:rPr>
          <w:rFonts w:ascii="Times New Roman" w:hAnsi="Times New Roman" w:cs="Times New Roman"/>
          <w:sz w:val="28"/>
          <w:szCs w:val="28"/>
        </w:rPr>
        <w:t>396661,9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 тыс. рублей</w:t>
      </w:r>
      <w:r w:rsidRPr="0093182A">
        <w:rPr>
          <w:rFonts w:ascii="Times New Roman" w:hAnsi="Times New Roman" w:cs="Times New Roman"/>
          <w:sz w:val="28"/>
          <w:szCs w:val="28"/>
        </w:rPr>
        <w:t xml:space="preserve">, или </w:t>
      </w:r>
      <w:r w:rsidR="00DB73FD">
        <w:rPr>
          <w:rFonts w:ascii="Times New Roman" w:hAnsi="Times New Roman" w:cs="Times New Roman"/>
          <w:sz w:val="28"/>
          <w:szCs w:val="28"/>
        </w:rPr>
        <w:t>100,</w:t>
      </w:r>
      <w:r w:rsidR="000D405C">
        <w:rPr>
          <w:rFonts w:ascii="Times New Roman" w:hAnsi="Times New Roman" w:cs="Times New Roman"/>
          <w:sz w:val="28"/>
          <w:szCs w:val="28"/>
        </w:rPr>
        <w:t>1</w:t>
      </w:r>
      <w:r w:rsidRPr="0093182A">
        <w:rPr>
          <w:rFonts w:ascii="Times New Roman" w:hAnsi="Times New Roman" w:cs="Times New Roman"/>
          <w:spacing w:val="5"/>
          <w:sz w:val="28"/>
          <w:szCs w:val="28"/>
        </w:rPr>
        <w:t>% уточненного плана</w:t>
      </w:r>
      <w:r w:rsidRPr="00931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hAnsi="Times New Roman" w:cs="Times New Roman"/>
          <w:sz w:val="28"/>
          <w:szCs w:val="28"/>
        </w:rPr>
        <w:t>Формирование доходной части бюджета поселения осуществлялось в рамках Налогового и Бюджетного кодексов РФ</w:t>
      </w:r>
      <w:r w:rsidRPr="0093182A">
        <w:rPr>
          <w:rFonts w:ascii="Times New Roman" w:hAnsi="Times New Roman" w:cs="Times New Roman"/>
          <w:spacing w:val="-1"/>
          <w:sz w:val="28"/>
          <w:szCs w:val="28"/>
        </w:rPr>
        <w:t xml:space="preserve"> и в соответствии с Федеральным законом от 06.10.2003 № 131-Ф3 «Об общих принципах организации местного самоуправления в </w:t>
      </w:r>
      <w:r w:rsidRPr="0093182A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182A">
        <w:rPr>
          <w:rFonts w:ascii="Times New Roman" w:hAnsi="Times New Roman" w:cs="Times New Roman"/>
          <w:spacing w:val="-6"/>
          <w:sz w:val="28"/>
          <w:szCs w:val="28"/>
        </w:rPr>
        <w:t xml:space="preserve">Анализ исполнения доходной части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93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представлен в следующей таблице.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07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928"/>
        <w:gridCol w:w="1057"/>
        <w:gridCol w:w="1026"/>
        <w:gridCol w:w="1100"/>
        <w:gridCol w:w="913"/>
        <w:gridCol w:w="934"/>
        <w:gridCol w:w="35"/>
      </w:tblGrid>
      <w:tr w:rsidR="00FA78EC" w:rsidRPr="002D74FC" w:rsidTr="00B401CD">
        <w:trPr>
          <w:trHeight w:val="315"/>
        </w:trPr>
        <w:tc>
          <w:tcPr>
            <w:tcW w:w="4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24004F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на 20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4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2D719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A78EC" w:rsidRPr="00193109" w:rsidRDefault="00FA78EC" w:rsidP="006975F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78EC" w:rsidRPr="00193109" w:rsidRDefault="00FA78EC" w:rsidP="00F6780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Исполнено за 20</w:t>
            </w:r>
            <w:r w:rsidR="002E20C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F6780E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EC" w:rsidRPr="002D74FC" w:rsidTr="00B401CD">
        <w:trPr>
          <w:trHeight w:val="1622"/>
        </w:trPr>
        <w:tc>
          <w:tcPr>
            <w:tcW w:w="4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Решение от </w:t>
            </w:r>
            <w:r w:rsidR="00C60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3C6A7A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0D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60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FA78EC" w:rsidRPr="00193109" w:rsidRDefault="00FA78EC" w:rsidP="00C60910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0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Решение от </w:t>
            </w:r>
            <w:r w:rsidR="000D4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60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3C6A7A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60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FA78EC" w:rsidRPr="00193109" w:rsidRDefault="00FA78EC" w:rsidP="00C60910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60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8EC" w:rsidRPr="00193109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в % к </w:t>
            </w:r>
            <w:proofErr w:type="spellStart"/>
            <w:proofErr w:type="gram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утверж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-денным</w:t>
            </w:r>
            <w:proofErr w:type="gramEnd"/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струк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тура, %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28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40935,1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72128,2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72565,9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40206,1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70856,5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71288,2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51233,6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466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6475,9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10576,9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4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EE497C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EE497C" w:rsidP="00EE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1277,6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2D2E8A" w:rsidRDefault="002953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1026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D95FE0" w:rsidRDefault="00295342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42" w:rsidRPr="00295342" w:rsidRDefault="00EE497C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EE497C" w:rsidP="00EE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EE497C" w:rsidP="00EE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EE497C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EE497C" w:rsidP="00EE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B03661">
            <w:pPr>
              <w:tabs>
                <w:tab w:val="left" w:pos="3822"/>
              </w:tabs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EE497C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EE497C" w:rsidP="00EE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EE497C" w:rsidP="00EE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</w:t>
            </w:r>
            <w:proofErr w:type="gramStart"/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EE497C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517346,8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324096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324096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EE497C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517224,1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323752,3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323752,3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EE497C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EE497C" w:rsidP="00EE4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342" w:rsidRPr="002D74FC" w:rsidTr="00295342">
        <w:trPr>
          <w:trHeight w:val="6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D95FE0" w:rsidRDefault="00295342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доходов: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558281,9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396224,2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396661,9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295342" w:rsidRPr="00295342" w:rsidRDefault="00295342" w:rsidP="002953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3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295342" w:rsidRPr="00D65889" w:rsidRDefault="0029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0550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Внешней проверкой отмечено</w:t>
      </w:r>
      <w:r w:rsidR="00433782">
        <w:rPr>
          <w:rFonts w:ascii="Times New Roman" w:eastAsia="Times New Roman" w:hAnsi="Times New Roman" w:cs="Times New Roman"/>
          <w:sz w:val="28"/>
          <w:szCs w:val="28"/>
        </w:rPr>
        <w:t xml:space="preserve"> снижение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объема утвержденных доходов от первоначально утвержденного объема</w:t>
      </w:r>
      <w:r w:rsidR="00433782">
        <w:rPr>
          <w:rFonts w:ascii="Times New Roman" w:eastAsia="Times New Roman" w:hAnsi="Times New Roman" w:cs="Times New Roman"/>
          <w:sz w:val="28"/>
          <w:szCs w:val="28"/>
        </w:rPr>
        <w:t xml:space="preserve"> на 29,0%, или на 162057,7 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Наибольшее </w:t>
      </w:r>
      <w:r w:rsidR="00433782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="00D31FB7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отмечается по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безвозмездны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433782">
        <w:rPr>
          <w:rFonts w:ascii="Times New Roman" w:eastAsia="Times New Roman" w:hAnsi="Times New Roman" w:cs="Times New Roman"/>
          <w:sz w:val="28"/>
          <w:szCs w:val="28"/>
        </w:rPr>
        <w:t>(-47,4%</w:t>
      </w:r>
      <w:r w:rsidR="00DE6651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утвержденных.</w:t>
      </w:r>
    </w:p>
    <w:p w:rsidR="00656A71" w:rsidRPr="00656A71" w:rsidRDefault="00656A71" w:rsidP="005C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поступивших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65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34B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03734B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занимают б</w:t>
      </w:r>
      <w:r w:rsidR="005C442C" w:rsidRPr="00656A71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3734B">
        <w:rPr>
          <w:rFonts w:ascii="Times New Roman" w:eastAsia="Times New Roman" w:hAnsi="Times New Roman" w:cs="Times New Roman"/>
          <w:sz w:val="28"/>
          <w:szCs w:val="28"/>
        </w:rPr>
        <w:t>81,7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>%</w:t>
      </w:r>
      <w:r w:rsidR="0003734B">
        <w:rPr>
          <w:rFonts w:ascii="Times New Roman" w:eastAsia="Times New Roman" w:hAnsi="Times New Roman" w:cs="Times New Roman"/>
          <w:sz w:val="28"/>
          <w:szCs w:val="28"/>
        </w:rPr>
        <w:t>, среди которых наибольшее значение 99,9% приходится на субсидии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5817" w:rsidRPr="00D85817" w:rsidRDefault="00656A71" w:rsidP="00D85817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1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E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612E5D">
        <w:rPr>
          <w:rFonts w:ascii="Times New Roman" w:eastAsia="Times New Roman" w:hAnsi="Times New Roman" w:cs="Times New Roman"/>
          <w:sz w:val="28"/>
          <w:szCs w:val="28"/>
        </w:rPr>
        <w:t>72565,9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B4F79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612E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>% к уточненному годовому плану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, удельный вес </w:t>
      </w:r>
      <w:r w:rsidR="00612E5D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12E5D">
        <w:rPr>
          <w:rFonts w:ascii="Times New Roman" w:eastAsia="Times New Roman" w:hAnsi="Times New Roman" w:cs="Times New Roman"/>
          <w:sz w:val="28"/>
          <w:szCs w:val="28"/>
        </w:rPr>
        <w:t>18,3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D85817" w:rsidRPr="00D8581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доходы поселения образованы налоговыми и неналоговыми доходами.</w:t>
      </w:r>
    </w:p>
    <w:p w:rsidR="00D85817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</w:t>
      </w:r>
      <w:r w:rsidR="00D85817" w:rsidRPr="00532DB4">
        <w:rPr>
          <w:rFonts w:ascii="Times New Roman" w:eastAsia="Times New Roman" w:hAnsi="Times New Roman" w:cs="Times New Roman"/>
          <w:b/>
          <w:sz w:val="28"/>
          <w:szCs w:val="28"/>
        </w:rPr>
        <w:t>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71288,2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% от утвержденных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 назначений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18,0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20EC" w:rsidRPr="00D420EC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D114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A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налог на доходы физических лиц – 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51233,6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или 100,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%к плану. У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категории налоговых доходов – 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71,9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Основные поступления по налогу обеспечивают следующие налогоплательщики: АО «Пролетарий», ГБУЗ «</w:t>
      </w:r>
      <w:proofErr w:type="spellStart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больница»,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ООО «Брянская мясная компания».</w:t>
      </w:r>
    </w:p>
    <w:p w:rsidR="00C74741" w:rsidRDefault="00D114B8" w:rsidP="00C747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На втором месте по у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>дельн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 xml:space="preserve"> в категории налоговых доходов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занимает з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емельн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 xml:space="preserve"> налог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14,8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%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, исполнение сложилось в сумме 10576,9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7%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774" w:rsidRPr="00B5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364" w:rsidRPr="003A49C4" w:rsidRDefault="00E20364" w:rsidP="00E2036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составил </w:t>
      </w:r>
      <w:r w:rsidR="009833CC">
        <w:rPr>
          <w:rFonts w:ascii="Times New Roman" w:eastAsia="Times New Roman" w:hAnsi="Times New Roman" w:cs="Times New Roman"/>
          <w:sz w:val="28"/>
          <w:szCs w:val="28"/>
        </w:rPr>
        <w:t>6475,9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9833C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9833CC">
        <w:rPr>
          <w:rFonts w:ascii="Times New Roman" w:eastAsia="Times New Roman" w:hAnsi="Times New Roman" w:cs="Times New Roman"/>
          <w:sz w:val="28"/>
          <w:szCs w:val="28"/>
        </w:rPr>
        <w:t>, его у</w:t>
      </w:r>
      <w:r>
        <w:rPr>
          <w:rFonts w:ascii="Times New Roman" w:eastAsia="Times New Roman" w:hAnsi="Times New Roman" w:cs="Times New Roman"/>
          <w:sz w:val="28"/>
          <w:szCs w:val="28"/>
        </w:rPr>
        <w:t>дельный вес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833CC">
        <w:rPr>
          <w:rFonts w:ascii="Times New Roman" w:eastAsia="Times New Roman" w:hAnsi="Times New Roman" w:cs="Times New Roman"/>
          <w:sz w:val="28"/>
          <w:szCs w:val="28"/>
        </w:rPr>
        <w:t>9,1</w:t>
      </w:r>
      <w:r>
        <w:rPr>
          <w:rFonts w:ascii="Times New Roman" w:eastAsia="Times New Roman" w:hAnsi="Times New Roman" w:cs="Times New Roman"/>
          <w:sz w:val="28"/>
          <w:szCs w:val="28"/>
        </w:rPr>
        <w:t>% в налоговых доходах бюджета 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49C4" w:rsidRDefault="00375D84" w:rsidP="003A49C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1E1B" w:rsidRP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>кцизы по подакцизным товарам (продукции), производимым на территории РФ</w:t>
      </w:r>
      <w:r w:rsid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поступили в сумме </w:t>
      </w:r>
      <w:r w:rsidR="00A308F0">
        <w:rPr>
          <w:rFonts w:ascii="Times New Roman" w:eastAsia="Times New Roman" w:hAnsi="Times New Roman" w:cs="Times New Roman"/>
          <w:color w:val="000000"/>
          <w:sz w:val="28"/>
          <w:szCs w:val="28"/>
        </w:rPr>
        <w:t>3000,3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101,</w:t>
      </w:r>
      <w:r w:rsidR="00A308F0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. Удельный вес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308F0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%</w:t>
      </w:r>
      <w:r w:rsidR="00B954E6">
        <w:rPr>
          <w:rFonts w:ascii="Times New Roman" w:eastAsia="Times New Roman" w:hAnsi="Times New Roman" w:cs="Times New Roman"/>
          <w:sz w:val="28"/>
          <w:szCs w:val="28"/>
        </w:rPr>
        <w:t xml:space="preserve"> в налоговых доходах бюджета поселения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5E8E" w:rsidRPr="003A49C4" w:rsidRDefault="00E65E8E" w:rsidP="00E65E8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Единый сельскохозяйственный налог поступил в сумме </w:t>
      </w:r>
      <w:r w:rsidR="00A308F0">
        <w:rPr>
          <w:rFonts w:ascii="Times New Roman" w:eastAsia="Times New Roman" w:hAnsi="Times New Roman" w:cs="Times New Roman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A308F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плана. Удельный вес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F0">
        <w:rPr>
          <w:rFonts w:ascii="Times New Roman" w:eastAsia="Times New Roman" w:hAnsi="Times New Roman" w:cs="Times New Roman"/>
          <w:sz w:val="28"/>
          <w:szCs w:val="28"/>
        </w:rPr>
        <w:t>менее 1,0</w:t>
      </w:r>
      <w:r>
        <w:rPr>
          <w:rFonts w:ascii="Times New Roman" w:eastAsia="Times New Roman" w:hAnsi="Times New Roman" w:cs="Times New Roman"/>
          <w:sz w:val="28"/>
          <w:szCs w:val="28"/>
        </w:rPr>
        <w:t>% в налоговых доходах бюджета 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71BD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>неналоговых 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бюджета в 20</w:t>
      </w:r>
      <w:r w:rsidR="00E65E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16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8A16BA">
        <w:rPr>
          <w:rFonts w:ascii="Times New Roman" w:eastAsia="Times New Roman" w:hAnsi="Times New Roman" w:cs="Times New Roman"/>
          <w:sz w:val="28"/>
          <w:szCs w:val="28"/>
        </w:rPr>
        <w:t>1277,6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или </w:t>
      </w:r>
      <w:r w:rsidR="008A16BA">
        <w:rPr>
          <w:rFonts w:ascii="Times New Roman" w:eastAsia="Times New Roman" w:hAnsi="Times New Roman" w:cs="Times New Roman"/>
          <w:sz w:val="28"/>
          <w:szCs w:val="28"/>
        </w:rPr>
        <w:t>100,5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к плановым назначениям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>Удельный вес в объеме доходов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6BA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7030F" w:rsidRDefault="00532DB4" w:rsidP="004559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B3E">
        <w:rPr>
          <w:rFonts w:ascii="Times New Roman" w:hAnsi="Times New Roman" w:cs="Times New Roman"/>
          <w:sz w:val="28"/>
          <w:szCs w:val="28"/>
        </w:rPr>
        <w:t>Неналоговые доходы</w:t>
      </w:r>
      <w:r w:rsidRPr="00F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образованы </w:t>
      </w:r>
      <w:r w:rsidRPr="00F70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доходами, получаемыми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арендной платы за земельные участки, государственная собственность на которые не разграничена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62,6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50FDC">
        <w:rPr>
          <w:rFonts w:ascii="Times New Roman" w:hAnsi="Times New Roman" w:cs="Times New Roman"/>
          <w:color w:val="000000"/>
          <w:sz w:val="28"/>
          <w:szCs w:val="28"/>
        </w:rPr>
        <w:t>(наибольший удельный вес)</w:t>
      </w:r>
      <w:r w:rsidR="00750FDC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799,3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100,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% к плану), </w:t>
      </w:r>
      <w:r w:rsidR="00216C61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Доходами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продажи </w:t>
      </w:r>
      <w:r w:rsidR="00750FDC">
        <w:rPr>
          <w:rFonts w:ascii="Times New Roman" w:hAnsi="Times New Roman" w:cs="Times New Roman"/>
          <w:color w:val="000000"/>
          <w:sz w:val="28"/>
          <w:szCs w:val="28"/>
        </w:rPr>
        <w:t>материальных и нематериальных активов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17,7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226,6</w:t>
      </w:r>
      <w:r w:rsidR="00E3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тыс. рублей, или 10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% к плану)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рочими поступлениями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в виде и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нициативны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 xml:space="preserve"> плат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 xml:space="preserve">с удельным весом в своей категории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19,7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251,7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End"/>
      <w:r w:rsidR="000747CB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или 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>% к плану)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F41" w:rsidRPr="00610F41" w:rsidRDefault="00656A71" w:rsidP="00610F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>Из бюджетов других уровней в 20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6D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</w:t>
      </w:r>
      <w:r w:rsidRPr="00455959">
        <w:rPr>
          <w:rFonts w:ascii="Times New Roman" w:eastAsia="Times New Roman" w:hAnsi="Times New Roman" w:cs="Times New Roman"/>
          <w:b/>
          <w:sz w:val="28"/>
          <w:szCs w:val="28"/>
        </w:rPr>
        <w:t>финансовой помощи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492">
        <w:rPr>
          <w:rFonts w:ascii="Times New Roman" w:eastAsia="Times New Roman" w:hAnsi="Times New Roman" w:cs="Times New Roman"/>
          <w:sz w:val="28"/>
          <w:szCs w:val="28"/>
        </w:rPr>
        <w:t>Суражскому</w:t>
      </w:r>
      <w:proofErr w:type="spellEnd"/>
      <w:r w:rsidR="00DC749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поселению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586D8C">
        <w:rPr>
          <w:rFonts w:ascii="Times New Roman" w:eastAsia="Times New Roman" w:hAnsi="Times New Roman" w:cs="Times New Roman"/>
          <w:sz w:val="28"/>
          <w:szCs w:val="28"/>
        </w:rPr>
        <w:t>324096,0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</w:t>
      </w:r>
      <w:r w:rsidR="00586D8C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показателям, что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86D8C">
        <w:rPr>
          <w:rFonts w:ascii="Times New Roman" w:eastAsia="Times New Roman" w:hAnsi="Times New Roman" w:cs="Times New Roman"/>
          <w:sz w:val="28"/>
          <w:szCs w:val="28"/>
        </w:rPr>
        <w:t>81,7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% от объема доходов.</w:t>
      </w:r>
      <w:r w:rsidR="00610F41" w:rsidRPr="00610F41">
        <w:rPr>
          <w:sz w:val="28"/>
          <w:szCs w:val="28"/>
        </w:rPr>
        <w:t xml:space="preserve"> </w:t>
      </w:r>
    </w:p>
    <w:p w:rsidR="004C7FEA" w:rsidRDefault="000A5124" w:rsidP="000A5124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4559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Дотации </w:t>
      </w:r>
      <w:r w:rsidR="004C7F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поступ</w:t>
      </w:r>
      <w:r w:rsidR="00A6730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или в сумме 230,8 тыс. рублей и исполнены на 100,0%.</w:t>
      </w:r>
    </w:p>
    <w:p w:rsidR="00610F41" w:rsidRDefault="00656A71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бюджету </w:t>
      </w:r>
      <w:proofErr w:type="spellStart"/>
      <w:r w:rsidR="00DC7492">
        <w:rPr>
          <w:rFonts w:ascii="Times New Roman" w:eastAsia="Times New Roman" w:hAnsi="Times New Roman" w:cs="Times New Roman"/>
          <w:sz w:val="28"/>
          <w:szCs w:val="28"/>
        </w:rPr>
        <w:t>Суражскому</w:t>
      </w:r>
      <w:proofErr w:type="spellEnd"/>
      <w:r w:rsidR="00DC749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поселению</w:t>
      </w:r>
      <w:r w:rsidR="00DC7492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перечислены в сумме </w:t>
      </w:r>
      <w:r w:rsidR="00A67300">
        <w:rPr>
          <w:rFonts w:ascii="Times New Roman" w:eastAsia="Times New Roman" w:hAnsi="Times New Roman" w:cs="Times New Roman"/>
          <w:sz w:val="28"/>
          <w:szCs w:val="28"/>
        </w:rPr>
        <w:t>323752,3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67300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>% от плана. Уд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 xml:space="preserve">ельный вес в объеме безвозмездных поступлений – </w:t>
      </w:r>
      <w:r w:rsidR="00A67300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>%</w:t>
      </w:r>
      <w:r w:rsidR="00A67300">
        <w:rPr>
          <w:rFonts w:ascii="Times New Roman" w:eastAsia="Times New Roman" w:hAnsi="Times New Roman" w:cs="Times New Roman"/>
          <w:sz w:val="28"/>
          <w:szCs w:val="28"/>
        </w:rPr>
        <w:t xml:space="preserve"> (наибольший)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. Субсидии представлялись </w:t>
      </w:r>
      <w:proofErr w:type="gramStart"/>
      <w:r w:rsidR="00610F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10F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</w:t>
      </w:r>
      <w:r w:rsidR="00A67300">
        <w:rPr>
          <w:rFonts w:ascii="Times New Roman" w:eastAsia="Times New Roman" w:hAnsi="Times New Roman" w:cs="Times New Roman"/>
          <w:sz w:val="28"/>
          <w:szCs w:val="28"/>
        </w:rPr>
        <w:t>314261,7</w:t>
      </w:r>
      <w:r w:rsidRPr="00610F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610F41">
        <w:rPr>
          <w:rFonts w:ascii="Times New Roman" w:hAnsi="Times New Roman" w:cs="Times New Roman"/>
          <w:sz w:val="28"/>
          <w:szCs w:val="28"/>
        </w:rPr>
        <w:t>ей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1">
        <w:rPr>
          <w:rFonts w:ascii="Times New Roman" w:eastAsia="Times New Roman" w:hAnsi="Times New Roman" w:cs="Times New Roman"/>
          <w:sz w:val="28"/>
          <w:szCs w:val="28"/>
        </w:rPr>
        <w:t>- субсидии бюджетам городских поселений на реализацию программ формирования современной городской среды</w:t>
      </w:r>
      <w:r w:rsidRPr="00610F41">
        <w:rPr>
          <w:rFonts w:ascii="Times New Roman" w:hAnsi="Times New Roman" w:cs="Times New Roman"/>
          <w:sz w:val="28"/>
          <w:szCs w:val="28"/>
        </w:rPr>
        <w:t xml:space="preserve"> 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29AA">
        <w:rPr>
          <w:rFonts w:ascii="Times New Roman" w:eastAsia="Times New Roman" w:hAnsi="Times New Roman" w:cs="Times New Roman"/>
          <w:sz w:val="28"/>
          <w:szCs w:val="28"/>
        </w:rPr>
        <w:t>4665,6</w:t>
      </w:r>
      <w:r w:rsidRPr="00610F4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- прочие субсидии бюджетам городских поселений – </w:t>
      </w:r>
      <w:r w:rsidR="00BF29AA">
        <w:rPr>
          <w:rFonts w:ascii="Times New Roman" w:eastAsia="Times New Roman" w:hAnsi="Times New Roman" w:cs="Times New Roman"/>
          <w:sz w:val="28"/>
          <w:szCs w:val="28"/>
        </w:rPr>
        <w:t>4824,9</w:t>
      </w:r>
      <w:r w:rsidRPr="00610F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610F41">
        <w:rPr>
          <w:rFonts w:ascii="Times New Roman" w:hAnsi="Times New Roman" w:cs="Times New Roman"/>
          <w:sz w:val="28"/>
          <w:szCs w:val="28"/>
        </w:rPr>
        <w:t>ей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967" w:rsidRDefault="00656A71" w:rsidP="0018096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 в 20</w:t>
      </w:r>
      <w:r w:rsidR="002D1C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F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7242C" w:rsidRPr="00A37CF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выполнение передаваемых полномочий субъектов РФ 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>% от плана)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передаваемых полномочий субъектов РФ. </w:t>
      </w:r>
      <w:r w:rsidR="00180967" w:rsidRPr="0018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A37CF6" w:rsidRDefault="00180967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0967">
        <w:rPr>
          <w:rFonts w:ascii="Times New Roman" w:eastAsia="Times New Roman" w:hAnsi="Times New Roman" w:cs="Times New Roman"/>
          <w:sz w:val="28"/>
          <w:szCs w:val="28"/>
        </w:rPr>
        <w:t>рочие безвозмездные поступления в бюджеты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2D1C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FE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поступили в объеме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FE8">
        <w:rPr>
          <w:rFonts w:ascii="Times New Roman" w:eastAsia="Times New Roman" w:hAnsi="Times New Roman" w:cs="Times New Roman"/>
          <w:sz w:val="28"/>
          <w:szCs w:val="28"/>
        </w:rPr>
        <w:t>12,8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от плана,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объеме безвозмездных поступлений </w:t>
      </w:r>
      <w:r w:rsidR="00874FE8">
        <w:rPr>
          <w:rFonts w:ascii="Times New Roman" w:eastAsia="Times New Roman" w:hAnsi="Times New Roman" w:cs="Times New Roman"/>
          <w:sz w:val="28"/>
          <w:szCs w:val="28"/>
        </w:rPr>
        <w:t xml:space="preserve"> менее 1,0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53D6D" w:rsidRPr="00C53D6D" w:rsidRDefault="00C53D6D" w:rsidP="00C53D6D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6D">
        <w:rPr>
          <w:rFonts w:ascii="Times New Roman" w:hAnsi="Times New Roman" w:cs="Times New Roman"/>
          <w:b/>
          <w:sz w:val="28"/>
          <w:szCs w:val="28"/>
        </w:rPr>
        <w:t>7.2. Провести анализ исполнения бюджета по расходам: по разделам и подразделам бюджетной классификации, по ведомственной структуре расходов.</w:t>
      </w:r>
    </w:p>
    <w:p w:rsidR="00031E1E" w:rsidRPr="00797C84" w:rsidRDefault="00C53D6D" w:rsidP="00C53D6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1E1E">
        <w:rPr>
          <w:rFonts w:ascii="Times New Roman" w:hAnsi="Times New Roman" w:cs="Times New Roman"/>
          <w:sz w:val="28"/>
          <w:szCs w:val="28"/>
        </w:rPr>
        <w:t>Расходная часть</w:t>
      </w:r>
      <w:r w:rsidRPr="0003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>бюджета поселения за 20</w:t>
      </w:r>
      <w:r w:rsidR="00031E1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318B7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A318B7">
        <w:rPr>
          <w:rFonts w:ascii="Times New Roman" w:hAnsi="Times New Roman" w:cs="Times New Roman"/>
          <w:spacing w:val="-6"/>
          <w:sz w:val="28"/>
          <w:szCs w:val="28"/>
        </w:rPr>
        <w:t>373775,0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или </w:t>
      </w:r>
      <w:r w:rsidR="00A318B7">
        <w:rPr>
          <w:rFonts w:ascii="Times New Roman" w:hAnsi="Times New Roman" w:cs="Times New Roman"/>
          <w:spacing w:val="-6"/>
          <w:sz w:val="28"/>
          <w:szCs w:val="28"/>
        </w:rPr>
        <w:t>98,2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 % </w:t>
      </w:r>
      <w:r w:rsidR="000371B8"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плановых назначений. </w:t>
      </w:r>
      <w:r w:rsidR="00FA0AF5"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По сравнению с прошлым </w:t>
      </w:r>
      <w:r w:rsidR="00FA0AF5"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годом </w:t>
      </w:r>
      <w:r w:rsidR="00FA0AF5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расходы </w:t>
      </w:r>
      <w:r w:rsidR="00705D71" w:rsidRPr="00797C84">
        <w:rPr>
          <w:rFonts w:ascii="Times New Roman" w:hAnsi="Times New Roman" w:cs="Times New Roman"/>
          <w:spacing w:val="-6"/>
          <w:sz w:val="28"/>
          <w:szCs w:val="28"/>
        </w:rPr>
        <w:t>увеличилась</w:t>
      </w:r>
      <w:r w:rsidR="00FA0AF5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18B7" w:rsidRPr="00797C84">
        <w:rPr>
          <w:rFonts w:ascii="Times New Roman" w:hAnsi="Times New Roman" w:cs="Times New Roman"/>
          <w:spacing w:val="-6"/>
          <w:sz w:val="28"/>
          <w:szCs w:val="28"/>
        </w:rPr>
        <w:t>в 5,3 раза</w:t>
      </w:r>
      <w:r w:rsidR="00031E1E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в основном за счет </w:t>
      </w:r>
      <w:r w:rsidR="004F4F21">
        <w:rPr>
          <w:rFonts w:ascii="Times New Roman" w:hAnsi="Times New Roman" w:cs="Times New Roman"/>
          <w:spacing w:val="-6"/>
          <w:sz w:val="28"/>
          <w:szCs w:val="28"/>
        </w:rPr>
        <w:t xml:space="preserve">раздела 01 «Общегосударственные вопросы» в 23,7 раза и </w:t>
      </w:r>
      <w:r w:rsidR="00031E1E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раздела </w:t>
      </w:r>
      <w:r w:rsidR="0013332F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04 «Национальная экономика» </w:t>
      </w:r>
      <w:r w:rsidR="00797C84">
        <w:rPr>
          <w:rFonts w:ascii="Times New Roman" w:hAnsi="Times New Roman" w:cs="Times New Roman"/>
          <w:spacing w:val="-6"/>
          <w:sz w:val="28"/>
          <w:szCs w:val="28"/>
        </w:rPr>
        <w:t>- в 10,0 раз</w:t>
      </w:r>
      <w:proofErr w:type="gramStart"/>
      <w:r w:rsidR="0013332F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1E1E" w:rsidRPr="00797C84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F16AB3" w:rsidRPr="00797C84" w:rsidRDefault="00F16AB3" w:rsidP="00C53D6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Расходы по таким разделам как «Культура, кинематография» и  </w:t>
      </w:r>
      <w:r w:rsidR="0013332F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«Социальная политика» уменьшились </w:t>
      </w:r>
      <w:r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по отношению к прошлому году на </w:t>
      </w:r>
      <w:r w:rsidR="0013332F" w:rsidRPr="00797C84">
        <w:rPr>
          <w:rFonts w:ascii="Times New Roman" w:hAnsi="Times New Roman" w:cs="Times New Roman"/>
          <w:spacing w:val="-6"/>
          <w:sz w:val="28"/>
          <w:szCs w:val="28"/>
        </w:rPr>
        <w:t>36,</w:t>
      </w:r>
      <w:r w:rsidR="00187B1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187B17">
        <w:rPr>
          <w:rFonts w:ascii="Times New Roman" w:hAnsi="Times New Roman" w:cs="Times New Roman"/>
          <w:spacing w:val="-6"/>
          <w:sz w:val="28"/>
          <w:szCs w:val="28"/>
        </w:rPr>
        <w:t>58,8</w:t>
      </w:r>
      <w:r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797C84">
        <w:rPr>
          <w:rFonts w:ascii="Times New Roman" w:hAnsi="Times New Roman" w:cs="Times New Roman"/>
          <w:spacing w:val="-6"/>
          <w:sz w:val="28"/>
          <w:szCs w:val="28"/>
        </w:rPr>
        <w:t>процентных</w:t>
      </w:r>
      <w:proofErr w:type="gramEnd"/>
      <w:r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пункта соответственно.</w:t>
      </w:r>
    </w:p>
    <w:p w:rsidR="00C53D6D" w:rsidRPr="00C53D6D" w:rsidRDefault="00C53D6D" w:rsidP="00C53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C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исполнения</w:t>
      </w:r>
      <w:r w:rsidRPr="00C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расходной части бюджета </w:t>
      </w:r>
      <w:r w:rsidR="00F16A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Суражского городского</w:t>
      </w:r>
      <w:r w:rsidRPr="00C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в разрезе разделов, подразделов классификации расходов представлен в таблице</w:t>
      </w:r>
      <w:r w:rsidRPr="00C53D6D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A71" w:rsidRPr="00656A71" w:rsidRDefault="00656A71" w:rsidP="00656A71">
      <w:pPr>
        <w:keepNext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19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25"/>
        <w:gridCol w:w="367"/>
        <w:gridCol w:w="1013"/>
        <w:gridCol w:w="981"/>
        <w:gridCol w:w="758"/>
        <w:gridCol w:w="1035"/>
        <w:gridCol w:w="1035"/>
        <w:gridCol w:w="592"/>
        <w:gridCol w:w="833"/>
        <w:gridCol w:w="868"/>
      </w:tblGrid>
      <w:tr w:rsidR="00B07BCE" w:rsidRPr="00656A71" w:rsidTr="00E01200">
        <w:trPr>
          <w:trHeight w:val="25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0F43B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9F201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F2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20</w:t>
            </w:r>
            <w:r w:rsidR="005A2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Отношение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A2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07BCE" w:rsidRPr="00656A71" w:rsidTr="00E01200">
        <w:trPr>
          <w:trHeight w:val="25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Перво-началь-ный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вариант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редак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FA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к плану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BCE" w:rsidRPr="00656A71" w:rsidTr="00E01200">
        <w:trPr>
          <w:trHeight w:val="58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от 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B07BCE" w:rsidRPr="00656A71" w:rsidRDefault="00B07BCE" w:rsidP="00775CB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№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 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B07BCE" w:rsidRPr="00656A71" w:rsidRDefault="00B07BCE" w:rsidP="00775CB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№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75A" w:rsidRPr="00656A71" w:rsidTr="007875E9">
        <w:trPr>
          <w:trHeight w:val="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185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4F4F21" w:rsidP="004F4F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23,7 раза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324BE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5A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5A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5A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A1335E" w:rsidP="00A133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A1335E" w:rsidP="00A133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A13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A1335E" w:rsidP="00A133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A1335E" w:rsidP="00A133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75A" w:rsidRPr="00DC175A" w:rsidRDefault="00085D68" w:rsidP="00085D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75,5 раз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A1335E" w:rsidP="00A133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75,5 раз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535672,8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346686,0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341580,1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34267,6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2C75FA" w:rsidP="002C7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10,0 раз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2C75FA" w:rsidP="002C7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7,9 раза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534782,6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344116,3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 w:rsidP="00CF31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340558</w:t>
            </w:r>
            <w:r w:rsidR="00CF3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CF31E8" w:rsidP="00CF31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 w:rsidP="00C811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81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30672,6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2C75FA" w:rsidP="00D47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DC175A"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D472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</w:t>
            </w:r>
            <w:r w:rsidR="00D472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DC175A" w:rsidRPr="00656A71" w:rsidTr="007875E9">
        <w:trPr>
          <w:trHeight w:val="16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163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085D68" w:rsidP="00085D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15,6 раз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3496,0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</w:tr>
      <w:tr w:rsidR="00DC175A" w:rsidRPr="00656A71" w:rsidTr="007875E9">
        <w:trPr>
          <w:trHeight w:val="16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167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25954,6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170,5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24297,0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19824,2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122,6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155,6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180,1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22975,8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21318,2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18072,6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7245,5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7482,4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7482,4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11814,3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7482,4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7482,4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11814,3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2C7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2C75FA" w:rsidP="002C7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2C75FA" w:rsidP="002C7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C175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5A" w:rsidRPr="00656A71" w:rsidRDefault="00DC175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558281,9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380538,5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75A" w:rsidRPr="00DC175A" w:rsidRDefault="00DC17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75A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373775,0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DC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75A" w:rsidRPr="00DC175A" w:rsidRDefault="00C46C38" w:rsidP="00C46C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70882,9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DC175A" w:rsidRPr="00DC175A" w:rsidRDefault="002C75FA" w:rsidP="002C7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5,7 раза</w:t>
            </w:r>
          </w:p>
        </w:tc>
      </w:tr>
    </w:tbl>
    <w:p w:rsidR="00E64D1C" w:rsidRPr="00656A71" w:rsidRDefault="00656A71" w:rsidP="0086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Внешней проверкой отмечено </w:t>
      </w:r>
      <w:r w:rsidR="007723D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 объема утвержденных расходов на </w:t>
      </w:r>
      <w:r w:rsidR="007723D5">
        <w:rPr>
          <w:rFonts w:ascii="Times New Roman" w:eastAsia="Times New Roman" w:hAnsi="Times New Roman" w:cs="Times New Roman"/>
          <w:sz w:val="28"/>
          <w:szCs w:val="28"/>
        </w:rPr>
        <w:t>177743,4</w:t>
      </w: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соответствует </w:t>
      </w:r>
      <w:r w:rsidR="007723D5">
        <w:rPr>
          <w:rFonts w:ascii="Times New Roman" w:eastAsia="Times New Roman" w:hAnsi="Times New Roman" w:cs="Times New Roman"/>
          <w:sz w:val="28"/>
          <w:szCs w:val="28"/>
        </w:rPr>
        <w:t>31,8</w:t>
      </w: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% от первоначально утвержденного объема. Наибольшее увеличение к первоначальному плану наблюдается по </w:t>
      </w:r>
      <w:r w:rsidR="00B565B7" w:rsidRPr="00DA1CB0">
        <w:rPr>
          <w:rFonts w:ascii="Times New Roman" w:eastAsia="Times New Roman" w:hAnsi="Times New Roman" w:cs="Times New Roman"/>
          <w:sz w:val="28"/>
          <w:szCs w:val="28"/>
        </w:rPr>
        <w:t xml:space="preserve">разделу </w:t>
      </w:r>
      <w:r w:rsidR="008F747D" w:rsidRPr="00DA1CB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17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747D" w:rsidRPr="00DA1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715" w:rsidRPr="00656A71">
        <w:rPr>
          <w:rFonts w:ascii="Times New Roman" w:eastAsia="Times New Roman" w:hAnsi="Times New Roman" w:cs="Times New Roman"/>
          <w:spacing w:val="4"/>
          <w:sz w:val="28"/>
        </w:rPr>
        <w:t>«</w:t>
      </w:r>
      <w:r w:rsidR="009D1715" w:rsidRPr="00656A7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9D1715" w:rsidRPr="00656A71">
        <w:rPr>
          <w:rFonts w:ascii="Times New Roman" w:eastAsia="Times New Roman" w:hAnsi="Times New Roman" w:cs="Times New Roman"/>
          <w:spacing w:val="4"/>
          <w:sz w:val="28"/>
        </w:rPr>
        <w:t xml:space="preserve">» </w:t>
      </w:r>
      <w:r w:rsidR="00B565B7" w:rsidRPr="00DA1C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D1715">
        <w:rPr>
          <w:rFonts w:ascii="Times New Roman" w:eastAsia="Times New Roman" w:hAnsi="Times New Roman" w:cs="Times New Roman"/>
          <w:sz w:val="28"/>
          <w:szCs w:val="28"/>
        </w:rPr>
        <w:t xml:space="preserve"> 70,5</w:t>
      </w:r>
      <w:r w:rsidR="00B565B7" w:rsidRPr="00DA1CB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8603BC">
        <w:rPr>
          <w:rFonts w:ascii="Times New Roman" w:eastAsia="Times New Roman" w:hAnsi="Times New Roman" w:cs="Times New Roman"/>
          <w:sz w:val="28"/>
          <w:szCs w:val="28"/>
        </w:rPr>
        <w:t xml:space="preserve"> Наибольшее у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меньшение запланированных расходов к первоначальному плану наблюдается по раздел</w:t>
      </w:r>
      <w:r w:rsidR="00E64D1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D1C">
        <w:rPr>
          <w:rFonts w:ascii="Times New Roman" w:eastAsia="Times New Roman" w:hAnsi="Times New Roman" w:cs="Times New Roman"/>
          <w:spacing w:val="4"/>
          <w:sz w:val="28"/>
        </w:rPr>
        <w:t xml:space="preserve">01 00 </w:t>
      </w:r>
      <w:r w:rsidR="00E64D1C" w:rsidRPr="00385316">
        <w:rPr>
          <w:rFonts w:ascii="Times New Roman" w:eastAsia="Times New Roman" w:hAnsi="Times New Roman" w:cs="Times New Roman"/>
          <w:spacing w:val="4"/>
          <w:sz w:val="24"/>
          <w:szCs w:val="24"/>
        </w:rPr>
        <w:t>«</w:t>
      </w:r>
      <w:r w:rsidR="00E64D1C" w:rsidRPr="00385316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E64D1C" w:rsidRPr="007856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603BC">
        <w:rPr>
          <w:rFonts w:ascii="Times New Roman" w:eastAsia="Times New Roman" w:hAnsi="Times New Roman" w:cs="Times New Roman"/>
          <w:sz w:val="28"/>
          <w:szCs w:val="28"/>
        </w:rPr>
        <w:t>(-84,5)</w:t>
      </w:r>
      <w:r w:rsidR="00E64D1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8603B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E64D1C" w:rsidRPr="00656A71">
        <w:rPr>
          <w:rFonts w:ascii="Times New Roman" w:eastAsia="Times New Roman" w:hAnsi="Times New Roman" w:cs="Times New Roman"/>
          <w:spacing w:val="4"/>
          <w:sz w:val="28"/>
        </w:rPr>
        <w:t xml:space="preserve"> 00 «</w:t>
      </w:r>
      <w:r w:rsidR="008603BC">
        <w:rPr>
          <w:rFonts w:ascii="Times New Roman" w:eastAsia="Times New Roman" w:hAnsi="Times New Roman" w:cs="Times New Roman"/>
          <w:spacing w:val="4"/>
          <w:sz w:val="28"/>
        </w:rPr>
        <w:t>Национальная экономика</w:t>
      </w:r>
      <w:r w:rsidR="00E64D1C" w:rsidRPr="00656A71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8603BC">
        <w:rPr>
          <w:rFonts w:ascii="Times New Roman" w:eastAsia="Times New Roman" w:hAnsi="Times New Roman" w:cs="Times New Roman"/>
          <w:spacing w:val="4"/>
          <w:sz w:val="28"/>
        </w:rPr>
        <w:t>(-35,3)</w:t>
      </w:r>
      <w:r w:rsidR="00E64D1C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E64D1C" w:rsidRPr="0078562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656A71" w:rsidRPr="00656A71" w:rsidRDefault="00656A71" w:rsidP="0038531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pacing w:val="4"/>
          <w:sz w:val="28"/>
        </w:rPr>
        <w:t>Наибольший удельный вес в структуре расходов в 20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>2</w:t>
      </w:r>
      <w:r w:rsidR="00843680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 году   заняли расходы по разделам 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 xml:space="preserve">04 00 «Национальная экономика» 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и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05 00 «</w:t>
      </w:r>
      <w:r w:rsidR="00A15E78" w:rsidRPr="00656A7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 xml:space="preserve">» - </w:t>
      </w:r>
      <w:r w:rsidR="00843680">
        <w:rPr>
          <w:rFonts w:ascii="Times New Roman" w:eastAsia="Times New Roman" w:hAnsi="Times New Roman" w:cs="Times New Roman"/>
          <w:spacing w:val="4"/>
          <w:sz w:val="28"/>
        </w:rPr>
        <w:t>91,4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и </w:t>
      </w:r>
      <w:r w:rsidR="00843680">
        <w:rPr>
          <w:rFonts w:ascii="Times New Roman" w:eastAsia="Times New Roman" w:hAnsi="Times New Roman" w:cs="Times New Roman"/>
          <w:spacing w:val="4"/>
          <w:sz w:val="28"/>
        </w:rPr>
        <w:t>6,5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соответственно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 xml:space="preserve">. 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385316">
        <w:rPr>
          <w:rFonts w:ascii="Times New Roman" w:eastAsia="Times New Roman" w:hAnsi="Times New Roman" w:cs="Times New Roman"/>
          <w:spacing w:val="4"/>
          <w:sz w:val="28"/>
        </w:rPr>
        <w:t xml:space="preserve">и 01 00 </w:t>
      </w:r>
      <w:r w:rsidR="00385316" w:rsidRPr="00385316">
        <w:rPr>
          <w:rFonts w:ascii="Times New Roman" w:eastAsia="Times New Roman" w:hAnsi="Times New Roman" w:cs="Times New Roman"/>
          <w:spacing w:val="4"/>
          <w:sz w:val="24"/>
          <w:szCs w:val="24"/>
        </w:rPr>
        <w:t>«</w:t>
      </w:r>
      <w:r w:rsidR="00385316" w:rsidRPr="00385316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385316" w:rsidRPr="007856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519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10 00 «Социальная политика»</w:t>
      </w:r>
      <w:r w:rsidR="00843680">
        <w:rPr>
          <w:rFonts w:ascii="Times New Roman" w:eastAsia="Times New Roman" w:hAnsi="Times New Roman" w:cs="Times New Roman"/>
          <w:spacing w:val="4"/>
          <w:sz w:val="28"/>
        </w:rPr>
        <w:t xml:space="preserve"> менее 1,0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78562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142718" w:rsidRDefault="00656A71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расходы»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47F9">
        <w:rPr>
          <w:rFonts w:ascii="Times New Roman" w:eastAsia="Times New Roman" w:hAnsi="Times New Roman" w:cs="Times New Roman"/>
          <w:sz w:val="28"/>
          <w:szCs w:val="28"/>
        </w:rPr>
        <w:t>зрасходовано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в сумме </w:t>
      </w:r>
      <w:r w:rsidR="002E0BC2">
        <w:rPr>
          <w:rFonts w:ascii="Times New Roman" w:eastAsia="Times New Roman" w:hAnsi="Times New Roman" w:cs="Times New Roman"/>
          <w:sz w:val="28"/>
          <w:szCs w:val="28"/>
        </w:rPr>
        <w:t xml:space="preserve">16,6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 рублей, что составляет 10</w:t>
      </w:r>
      <w:r w:rsidR="002E0BC2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плану. Удельный вес расходов по данному разделу составил </w:t>
      </w:r>
      <w:r w:rsidR="002E0BC2">
        <w:rPr>
          <w:rFonts w:ascii="Times New Roman" w:eastAsia="Times New Roman" w:hAnsi="Times New Roman" w:cs="Times New Roman"/>
          <w:sz w:val="28"/>
          <w:szCs w:val="28"/>
        </w:rPr>
        <w:t>менее 1,0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 По сравнению с 20</w:t>
      </w:r>
      <w:r w:rsidR="001F2B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0B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</w:t>
      </w:r>
      <w:r w:rsidR="002E0BC2">
        <w:rPr>
          <w:rFonts w:ascii="Times New Roman" w:eastAsia="Times New Roman" w:hAnsi="Times New Roman" w:cs="Times New Roman"/>
          <w:sz w:val="28"/>
          <w:szCs w:val="28"/>
        </w:rPr>
        <w:t>увеличились в 23,7 раза</w:t>
      </w:r>
      <w:r w:rsidR="001F2B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редства и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зрасходованы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718" w:rsidRDefault="00142718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1" w:rsidRPr="001427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271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- 0,5 тыс. рублей в соответствии с заключенным соглашением;</w:t>
      </w:r>
    </w:p>
    <w:p w:rsidR="002E0BC2" w:rsidRDefault="0001029E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 13 «</w:t>
      </w:r>
      <w:r w:rsidRPr="0001029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>15,1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0BC2" w:rsidRPr="002E0BC2" w:rsidRDefault="002E0BC2" w:rsidP="002E0BC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>- опубликование нормативных правовых актов муниципальных образований и иной официальной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,9 тыс.</w:t>
      </w: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2E0BC2" w:rsidRDefault="002E0BC2" w:rsidP="002E0BC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>- членские взносы некоммерческим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</w:t>
      </w: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656A71" w:rsidRDefault="002E0BC2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0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осуществление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правонарушениях.</w:t>
      </w:r>
    </w:p>
    <w:p w:rsidR="005C2D80" w:rsidRPr="00656A71" w:rsidRDefault="005C2D80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- 01 07 </w:t>
      </w:r>
      <w:r w:rsidRPr="001537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проведение выборов и референдумов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2B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A71" w:rsidRPr="00656A71" w:rsidRDefault="00656A71" w:rsidP="00A05DE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04 «Национальная экономика»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в сумме </w:t>
      </w:r>
      <w:r w:rsidR="00314C02">
        <w:rPr>
          <w:rFonts w:ascii="Times New Roman" w:eastAsia="Times New Roman" w:hAnsi="Times New Roman" w:cs="Times New Roman"/>
          <w:sz w:val="28"/>
          <w:szCs w:val="28"/>
        </w:rPr>
        <w:t>341580,1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составляет </w:t>
      </w:r>
      <w:r w:rsidR="00645C2C">
        <w:rPr>
          <w:rFonts w:ascii="Times New Roman" w:eastAsia="Times New Roman" w:hAnsi="Times New Roman" w:cs="Times New Roman"/>
          <w:sz w:val="28"/>
          <w:szCs w:val="28"/>
        </w:rPr>
        <w:t>95,</w:t>
      </w:r>
      <w:r w:rsidR="00314C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утвержденным ассигнованиям.  Указанные расходы имеют удельный вес </w:t>
      </w:r>
      <w:r w:rsidR="00314C02">
        <w:rPr>
          <w:rFonts w:ascii="Times New Roman" w:eastAsia="Times New Roman" w:hAnsi="Times New Roman" w:cs="Times New Roman"/>
          <w:sz w:val="28"/>
          <w:szCs w:val="28"/>
        </w:rPr>
        <w:t>98,5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 xml:space="preserve"> (наибольший)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расходов бюджета поселения. По сравнению с 20</w:t>
      </w:r>
      <w:r w:rsidR="00645C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4C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9666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7D4C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C02">
        <w:rPr>
          <w:rFonts w:ascii="Times New Roman" w:eastAsia="Times New Roman" w:hAnsi="Times New Roman" w:cs="Times New Roman"/>
          <w:sz w:val="28"/>
          <w:szCs w:val="28"/>
        </w:rPr>
        <w:t>в 10,0 раз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08 «Транспорт»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FE5536">
        <w:rPr>
          <w:rFonts w:ascii="Times New Roman" w:eastAsia="Times New Roman" w:hAnsi="Times New Roman" w:cs="Times New Roman"/>
          <w:sz w:val="28"/>
          <w:szCs w:val="28"/>
        </w:rPr>
        <w:t>786,8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E5536">
        <w:rPr>
          <w:rFonts w:ascii="Times New Roman" w:eastAsia="Times New Roman" w:hAnsi="Times New Roman" w:cs="Times New Roman"/>
          <w:sz w:val="28"/>
          <w:szCs w:val="28"/>
        </w:rPr>
        <w:t>или 100,0% от утвержденных назначений</w:t>
      </w:r>
      <w:r w:rsidR="00333DBA">
        <w:rPr>
          <w:rFonts w:ascii="Times New Roman" w:eastAsia="Times New Roman" w:hAnsi="Times New Roman" w:cs="Times New Roman"/>
          <w:sz w:val="28"/>
          <w:szCs w:val="28"/>
        </w:rPr>
        <w:t>. Исполнение отчетного года превышает аналогичный показатель прошлого в 8 раз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на 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t>компенсаци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325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09 «Дорожное хозяйство (дорожные фонды)»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CF31E8">
        <w:rPr>
          <w:rFonts w:ascii="Times New Roman" w:eastAsia="Times New Roman" w:hAnsi="Times New Roman" w:cs="Times New Roman"/>
          <w:sz w:val="28"/>
          <w:szCs w:val="28"/>
        </w:rPr>
        <w:t>340</w:t>
      </w:r>
      <w:r w:rsidR="00C81143">
        <w:rPr>
          <w:rFonts w:ascii="Times New Roman" w:eastAsia="Times New Roman" w:hAnsi="Times New Roman" w:cs="Times New Roman"/>
          <w:sz w:val="28"/>
          <w:szCs w:val="28"/>
        </w:rPr>
        <w:t>558,9</w:t>
      </w:r>
      <w:r w:rsidR="00D40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A75C7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81143">
        <w:rPr>
          <w:rFonts w:ascii="Times New Roman" w:eastAsia="Times New Roman" w:hAnsi="Times New Roman" w:cs="Times New Roman"/>
          <w:sz w:val="28"/>
          <w:szCs w:val="28"/>
        </w:rPr>
        <w:t>9,0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D7A3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811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143">
        <w:rPr>
          <w:rFonts w:ascii="Times New Roman" w:eastAsia="Times New Roman" w:hAnsi="Times New Roman" w:cs="Times New Roman"/>
          <w:sz w:val="28"/>
          <w:szCs w:val="28"/>
        </w:rPr>
        <w:t>в 11,1 раза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Данные средства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занимают </w:t>
      </w:r>
      <w:r w:rsidR="00A75C74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C811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% в разделе и использованы </w:t>
      </w:r>
      <w:r w:rsidR="00D07B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16325">
        <w:rPr>
          <w:rFonts w:ascii="Times New Roman" w:eastAsia="Times New Roman" w:hAnsi="Times New Roman" w:cs="Times New Roman"/>
          <w:sz w:val="28"/>
          <w:szCs w:val="28"/>
        </w:rPr>
        <w:t>рамках Дорожного фонда.</w:t>
      </w:r>
    </w:p>
    <w:p w:rsidR="00656A71" w:rsidRPr="00656A71" w:rsidRDefault="00656A71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12 «Другие вопросы в области национальной экономики»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216325">
        <w:rPr>
          <w:rFonts w:ascii="Times New Roman" w:eastAsia="Times New Roman" w:hAnsi="Times New Roman" w:cs="Times New Roman"/>
          <w:sz w:val="28"/>
          <w:szCs w:val="28"/>
        </w:rPr>
        <w:t>234,5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ыс. рублей (100,0% к плану), что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9E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9549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63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16325">
        <w:rPr>
          <w:rFonts w:ascii="Times New Roman" w:eastAsia="Times New Roman" w:hAnsi="Times New Roman" w:cs="Times New Roman"/>
          <w:sz w:val="28"/>
          <w:szCs w:val="28"/>
        </w:rPr>
        <w:t>14,9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 xml:space="preserve"> раза.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5A67" w:rsidRPr="00B65A67" w:rsidRDefault="00B65A67" w:rsidP="00B65A6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поддержка малого и среднего предпринимательства – </w:t>
      </w:r>
      <w:r w:rsidR="00FD23B9">
        <w:rPr>
          <w:rFonts w:ascii="Times New Roman" w:eastAsia="Times New Roman" w:hAnsi="Times New Roman" w:cs="Times New Roman"/>
          <w:sz w:val="28"/>
          <w:szCs w:val="28"/>
        </w:rPr>
        <w:t>4,5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рублей (мероприятия в рамках муниципальной программы «Развитие малого и среднего предпринимательства на территории Суражского городского поселения Суражского муниципального района Брянской области» (2021-2023гг.));</w:t>
      </w:r>
    </w:p>
    <w:p w:rsidR="00B65A67" w:rsidRDefault="00B65A67" w:rsidP="00B65A6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исполнение исковых требований на основании вступивших в законную силу судебных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3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D23B9">
        <w:rPr>
          <w:rFonts w:ascii="Times New Roman" w:eastAsia="Times New Roman" w:hAnsi="Times New Roman" w:cs="Times New Roman"/>
          <w:sz w:val="28"/>
          <w:szCs w:val="28"/>
        </w:rPr>
        <w:t xml:space="preserve"> и 30,0 тыс. рублей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B65A6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хозяйство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сумме </w:t>
      </w:r>
      <w:r w:rsidR="001916B8">
        <w:rPr>
          <w:rFonts w:ascii="Times New Roman" w:eastAsia="Times New Roman" w:hAnsi="Times New Roman" w:cs="Times New Roman"/>
          <w:sz w:val="28"/>
          <w:szCs w:val="28"/>
        </w:rPr>
        <w:t>24297,0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1916B8">
        <w:rPr>
          <w:rFonts w:ascii="Times New Roman" w:eastAsia="Times New Roman" w:hAnsi="Times New Roman" w:cs="Times New Roman"/>
          <w:sz w:val="28"/>
          <w:szCs w:val="28"/>
        </w:rPr>
        <w:t>93,6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плановым назначениям. Удельный вес расходов по данному разделу составил </w:t>
      </w:r>
      <w:r w:rsidR="001916B8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общих расходах поселения. По сравнению с 20</w:t>
      </w:r>
      <w:r w:rsidR="007D0B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7D0B73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4479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916B8">
        <w:rPr>
          <w:rFonts w:ascii="Times New Roman" w:eastAsia="Times New Roman" w:hAnsi="Times New Roman" w:cs="Times New Roman"/>
          <w:sz w:val="28"/>
          <w:szCs w:val="28"/>
        </w:rPr>
        <w:t>22,6</w:t>
      </w:r>
      <w:r w:rsidR="0070203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производилось по подразделам: 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- подраздел </w:t>
      </w:r>
      <w:r w:rsidRPr="00E65244">
        <w:rPr>
          <w:rFonts w:ascii="Times New Roman" w:eastAsia="Times New Roman" w:hAnsi="Times New Roman" w:cs="Times New Roman"/>
          <w:b/>
          <w:sz w:val="28"/>
          <w:szCs w:val="28"/>
        </w:rPr>
        <w:t>05 01 «Жилищное хозяйство»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2131">
        <w:rPr>
          <w:rFonts w:ascii="Times New Roman" w:eastAsia="Times New Roman" w:hAnsi="Times New Roman" w:cs="Times New Roman"/>
          <w:sz w:val="28"/>
          <w:szCs w:val="28"/>
        </w:rPr>
        <w:t>185,0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29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уплат</w:t>
      </w:r>
      <w:r w:rsidR="00BF29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 – 1</w:t>
      </w:r>
      <w:r w:rsidR="00E16A08">
        <w:rPr>
          <w:rFonts w:ascii="Times New Roman" w:eastAsia="Times New Roman" w:hAnsi="Times New Roman" w:cs="Times New Roman"/>
          <w:sz w:val="28"/>
          <w:szCs w:val="28"/>
        </w:rPr>
        <w:t>85,0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 (некоммерческая организация «Региональный фонд капитального ремонта многоквартирных домов Брянской области», ТСЖ № 18);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- подраздел </w:t>
      </w:r>
      <w:r w:rsidRPr="00E65244">
        <w:rPr>
          <w:rFonts w:ascii="Times New Roman" w:eastAsia="Times New Roman" w:hAnsi="Times New Roman" w:cs="Times New Roman"/>
          <w:b/>
          <w:sz w:val="28"/>
          <w:szCs w:val="28"/>
        </w:rPr>
        <w:t>05 02 «Коммунальное хозяйство»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658A">
        <w:rPr>
          <w:rFonts w:ascii="Times New Roman" w:eastAsia="Times New Roman" w:hAnsi="Times New Roman" w:cs="Times New Roman"/>
          <w:sz w:val="28"/>
          <w:szCs w:val="28"/>
        </w:rPr>
        <w:t>2793,7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EC2A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2E29" w:rsidRPr="002E2E29" w:rsidRDefault="00EC2A18" w:rsidP="002E2E29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E2E29" w:rsidRPr="002E2E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сфере коммунального хозяйства – 950</w:t>
      </w:r>
      <w:r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="002E2E29" w:rsidRPr="002E2E2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E2E29" w:rsidRPr="002E2E29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2E29" w:rsidRPr="002E2E29" w:rsidRDefault="002E2E29" w:rsidP="002E2E29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29">
        <w:rPr>
          <w:rFonts w:ascii="Times New Roman" w:eastAsia="Times New Roman" w:hAnsi="Times New Roman" w:cs="Times New Roman"/>
          <w:sz w:val="28"/>
          <w:szCs w:val="28"/>
        </w:rPr>
        <w:t xml:space="preserve">- ремонт водопроводной сети по ул. </w:t>
      </w:r>
      <w:proofErr w:type="gramStart"/>
      <w:r w:rsidRPr="002E2E29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Pr="002E2E29">
        <w:rPr>
          <w:rFonts w:ascii="Times New Roman" w:eastAsia="Times New Roman" w:hAnsi="Times New Roman" w:cs="Times New Roman"/>
          <w:sz w:val="28"/>
          <w:szCs w:val="28"/>
        </w:rPr>
        <w:t xml:space="preserve"> в г. Сураж Суражского района Брянской области  – 387</w:t>
      </w:r>
      <w:r w:rsidR="00EC2A18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Pr="002E2E2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C2A1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E2E2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2E29" w:rsidRPr="002E2E29" w:rsidRDefault="002E2E29" w:rsidP="002E2E29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29">
        <w:rPr>
          <w:rFonts w:ascii="Times New Roman" w:eastAsia="Times New Roman" w:hAnsi="Times New Roman" w:cs="Times New Roman"/>
          <w:sz w:val="28"/>
          <w:szCs w:val="28"/>
        </w:rPr>
        <w:t>- разработка проектной документации по объекту: «Реконструкция системы водоснабжения в г. Сураж Суражского района Брянской области»</w:t>
      </w:r>
      <w:r w:rsidR="00A95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E29">
        <w:rPr>
          <w:rFonts w:ascii="Times New Roman" w:eastAsia="Times New Roman" w:hAnsi="Times New Roman" w:cs="Times New Roman"/>
          <w:sz w:val="28"/>
          <w:szCs w:val="28"/>
        </w:rPr>
        <w:t>– 135</w:t>
      </w:r>
      <w:r w:rsidR="00A95524">
        <w:rPr>
          <w:rFonts w:ascii="Times New Roman" w:eastAsia="Times New Roman" w:hAnsi="Times New Roman" w:cs="Times New Roman"/>
          <w:sz w:val="28"/>
          <w:szCs w:val="28"/>
        </w:rPr>
        <w:t>, тыс.</w:t>
      </w:r>
      <w:r w:rsidRPr="002E2E2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E2E29" w:rsidRPr="002E2E29" w:rsidRDefault="002E2E29" w:rsidP="002E2E29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29">
        <w:rPr>
          <w:rFonts w:ascii="Times New Roman" w:eastAsia="Times New Roman" w:hAnsi="Times New Roman" w:cs="Times New Roman"/>
          <w:sz w:val="28"/>
          <w:szCs w:val="28"/>
        </w:rPr>
        <w:t>- проведение государственной экспертизы проектной документации и результатов инженерных изысканий по объекту: «Реконструкция системы водоснабжения в г. Сураж Суражского района Брянской области»– 428</w:t>
      </w:r>
      <w:r w:rsidR="00875CB8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2E2E2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E2E29" w:rsidRPr="002E2E29" w:rsidRDefault="00EC2A18" w:rsidP="002E2E29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2E29" w:rsidRPr="002E2E2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обеспечению населения бытовыми услугами– 1</w:t>
      </w:r>
      <w:r w:rsidR="008056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2E29" w:rsidRPr="002E2E29">
        <w:rPr>
          <w:rFonts w:ascii="Times New Roman" w:eastAsia="Times New Roman" w:hAnsi="Times New Roman" w:cs="Times New Roman"/>
          <w:sz w:val="28"/>
          <w:szCs w:val="28"/>
        </w:rPr>
        <w:t>308</w:t>
      </w:r>
      <w:r w:rsidR="008056C7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="002E2E29" w:rsidRPr="002E2E29">
        <w:rPr>
          <w:rFonts w:ascii="Times New Roman" w:eastAsia="Times New Roman" w:hAnsi="Times New Roman" w:cs="Times New Roman"/>
          <w:sz w:val="28"/>
          <w:szCs w:val="28"/>
        </w:rPr>
        <w:t xml:space="preserve"> рублей (возмещение части затрат, возникающих при предоставлении услуг по помывке населения в городской бане, МУП «Благоустройство»);</w:t>
      </w:r>
    </w:p>
    <w:p w:rsidR="00B87203" w:rsidRDefault="00EC2A18" w:rsidP="002E2E29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E2E29" w:rsidRPr="002E2E2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объектов жилищно-коммунального хозяйства к зиме (государственная программа «Развитие топливно-энергетического комплекса и жилищно-коммунального хозяйства Брянской области)</w:t>
      </w:r>
      <w:r w:rsidR="00274F8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E2E29" w:rsidRPr="002E2E29">
        <w:rPr>
          <w:rFonts w:ascii="Times New Roman" w:eastAsia="Times New Roman" w:hAnsi="Times New Roman" w:cs="Times New Roman"/>
          <w:sz w:val="28"/>
          <w:szCs w:val="28"/>
        </w:rPr>
        <w:t>капитальный ремонт водопроводной сети по ул. Красных Партизан в г. Сураж Брянской области – 534</w:t>
      </w:r>
      <w:r w:rsidR="00B87203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="002E2E29" w:rsidRPr="002E2E2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87203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91047F" w:rsidRPr="0091047F" w:rsidRDefault="0091047F" w:rsidP="002E2E29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подраздел </w:t>
      </w:r>
      <w:r w:rsidRPr="00E6307B">
        <w:rPr>
          <w:rFonts w:ascii="Times New Roman" w:eastAsia="Times New Roman" w:hAnsi="Times New Roman" w:cs="Times New Roman"/>
          <w:b/>
          <w:sz w:val="28"/>
          <w:szCs w:val="28"/>
        </w:rPr>
        <w:t>05 03 «Благоустройство»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A0F9C">
        <w:rPr>
          <w:rFonts w:ascii="Times New Roman" w:eastAsia="Times New Roman" w:hAnsi="Times New Roman" w:cs="Times New Roman"/>
          <w:sz w:val="28"/>
          <w:szCs w:val="28"/>
        </w:rPr>
        <w:t>31318,2</w:t>
      </w:r>
      <w:r w:rsidR="004A3FC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3C775A">
        <w:rPr>
          <w:rFonts w:ascii="Times New Roman" w:eastAsia="Times New Roman" w:hAnsi="Times New Roman" w:cs="Times New Roman"/>
          <w:sz w:val="28"/>
          <w:szCs w:val="28"/>
        </w:rPr>
        <w:t xml:space="preserve">или 92,8% от планового назначения. Средства </w:t>
      </w:r>
      <w:proofErr w:type="gramStart"/>
      <w:r w:rsidR="003C775A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proofErr w:type="gramEnd"/>
      <w:r w:rsidR="003C77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  <w:r w:rsidR="003C775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A3F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1286" w:rsidRPr="00851286" w:rsidRDefault="00343B0A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обеспечение освещения улиц –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 (субсидии МУП «Благоустройство»);</w:t>
      </w:r>
    </w:p>
    <w:p w:rsidR="00851286" w:rsidRPr="00851286" w:rsidRDefault="00343B0A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озеленение территории  – 3</w:t>
      </w:r>
      <w:r>
        <w:rPr>
          <w:rFonts w:ascii="Times New Roman" w:eastAsia="Times New Roman" w:hAnsi="Times New Roman" w:cs="Times New Roman"/>
          <w:sz w:val="28"/>
          <w:szCs w:val="28"/>
        </w:rPr>
        <w:t>50,0 тыс.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51286" w:rsidRPr="00851286" w:rsidRDefault="004A48BF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мест захоронения (кладбищ) – 416</w:t>
      </w:r>
      <w:r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51286" w:rsidRPr="00851286" w:rsidRDefault="007E293C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благоустройству – 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4,0 тыс. 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рублей,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1286" w:rsidRPr="00851286" w:rsidRDefault="00851286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286">
        <w:rPr>
          <w:rFonts w:ascii="Times New Roman" w:eastAsia="Times New Roman" w:hAnsi="Times New Roman" w:cs="Times New Roman"/>
          <w:sz w:val="28"/>
          <w:szCs w:val="28"/>
        </w:rPr>
        <w:t xml:space="preserve">- взносы по муниципальному жилищному фонду на проведение дополнительных работ по благоустройству дворовых территорий многоквартирных домов </w:t>
      </w:r>
      <w:r w:rsidR="006122C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512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2C4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51286" w:rsidRPr="00851286" w:rsidRDefault="00851286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286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сметных документаций по объектам благоустройства г. Суража  – 331</w:t>
      </w:r>
      <w:r w:rsidR="006122C4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51286" w:rsidRPr="00851286" w:rsidRDefault="00851286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286">
        <w:rPr>
          <w:rFonts w:ascii="Times New Roman" w:eastAsia="Times New Roman" w:hAnsi="Times New Roman" w:cs="Times New Roman"/>
          <w:sz w:val="28"/>
          <w:szCs w:val="28"/>
        </w:rPr>
        <w:t>- мероприятия по благоустройству  – 7</w:t>
      </w:r>
      <w:r w:rsidR="009242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1286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92428B">
        <w:rPr>
          <w:rFonts w:ascii="Times New Roman" w:eastAsia="Times New Roman" w:hAnsi="Times New Roman" w:cs="Times New Roman"/>
          <w:sz w:val="28"/>
          <w:szCs w:val="28"/>
        </w:rPr>
        <w:t xml:space="preserve">,0 тыс. </w:t>
      </w:r>
      <w:r w:rsidRPr="00851286">
        <w:rPr>
          <w:rFonts w:ascii="Times New Roman" w:eastAsia="Times New Roman" w:hAnsi="Times New Roman" w:cs="Times New Roman"/>
          <w:sz w:val="28"/>
          <w:szCs w:val="28"/>
        </w:rPr>
        <w:t>рублей (субсидии МУП «Благоустройство»);</w:t>
      </w:r>
    </w:p>
    <w:p w:rsidR="00851286" w:rsidRPr="00851286" w:rsidRDefault="009E4E96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инициативное бюджетирование – 13</w:t>
      </w:r>
      <w:r w:rsidR="00A71790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 (инициативный проект «Благоустройство территории парка культуры и отдыха в г. Сураж (3 этап)»);</w:t>
      </w:r>
    </w:p>
    <w:p w:rsidR="00851286" w:rsidRPr="00851286" w:rsidRDefault="009E4E96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реализация инициативных проектов (государственная программа «Региональная политика Брянской области») – 4</w:t>
      </w:r>
      <w:r w:rsidR="00A717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934</w:t>
      </w:r>
      <w:r w:rsidR="00A71790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E96" w:rsidRDefault="00851286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286">
        <w:rPr>
          <w:rFonts w:ascii="Times New Roman" w:eastAsia="Times New Roman" w:hAnsi="Times New Roman" w:cs="Times New Roman"/>
          <w:sz w:val="28"/>
          <w:szCs w:val="28"/>
        </w:rPr>
        <w:t>- инициативный проект «Благоустройство территории парка культуры и отдыха в г. Сураж (3 этап)»  – 2</w:t>
      </w:r>
      <w:r w:rsidR="009E4E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1286">
        <w:rPr>
          <w:rFonts w:ascii="Times New Roman" w:eastAsia="Times New Roman" w:hAnsi="Times New Roman" w:cs="Times New Roman"/>
          <w:sz w:val="28"/>
          <w:szCs w:val="28"/>
        </w:rPr>
        <w:t>435</w:t>
      </w:r>
      <w:r w:rsidR="009E4E96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4E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4E96" w:rsidRDefault="00851286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286">
        <w:rPr>
          <w:rFonts w:ascii="Times New Roman" w:eastAsia="Times New Roman" w:hAnsi="Times New Roman" w:cs="Times New Roman"/>
          <w:sz w:val="28"/>
          <w:szCs w:val="28"/>
        </w:rPr>
        <w:t>- инициативный проект «Благоустройство набережной, прилегающей к парку культуры и отдыха в г. Сураж» – 2</w:t>
      </w:r>
      <w:r w:rsidR="009E4E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1286">
        <w:rPr>
          <w:rFonts w:ascii="Times New Roman" w:eastAsia="Times New Roman" w:hAnsi="Times New Roman" w:cs="Times New Roman"/>
          <w:sz w:val="28"/>
          <w:szCs w:val="28"/>
        </w:rPr>
        <w:t>498</w:t>
      </w:r>
      <w:r w:rsidR="009E4E96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4E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4E96" w:rsidRDefault="009E4E96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 формирования современной городской среды (региональный проект «Формирование современной городской среды Брянской области», государственная программа «Формирование современной городской среды Брянской области») –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569</w:t>
      </w:r>
      <w:r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 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Культура, кинематография»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395E75">
        <w:rPr>
          <w:rFonts w:ascii="Times New Roman" w:eastAsia="Times New Roman" w:hAnsi="Times New Roman" w:cs="Times New Roman"/>
          <w:sz w:val="28"/>
          <w:szCs w:val="28"/>
        </w:rPr>
        <w:t>7842,4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100,0 % к плановым значениям. Удельный вес расходов по данному разделу составил </w:t>
      </w:r>
      <w:r w:rsidR="00395E75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бюджета. По сравнению с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предыдущим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95E75">
        <w:rPr>
          <w:rFonts w:ascii="Times New Roman" w:eastAsia="Times New Roman" w:hAnsi="Times New Roman" w:cs="Times New Roman"/>
          <w:sz w:val="28"/>
          <w:szCs w:val="28"/>
        </w:rPr>
        <w:t>36,7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%. 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редства расходовались по подразделу 08 01 «Культура»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>3490,6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E3E" w:rsidRDefault="00656A71" w:rsidP="00BD0BA5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>4351,8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CE6" w:rsidRDefault="00656A71" w:rsidP="00B0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 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политика»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% к плановым значениям. Удельный вес расходов по данному разделу в структуре расходов бюджета составил 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сравнению с 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>прошлым г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одом  расходы </w:t>
      </w:r>
      <w:r w:rsidR="008C76D9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>58,8%</w:t>
      </w:r>
      <w:r w:rsidR="008C76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редства 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расходовались по подраздел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10 01 «Пенсионное обеспечение»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доплаты к пенсиям муниципальных служащих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5AB" w:rsidRPr="00656A71" w:rsidRDefault="00656A71" w:rsidP="00B06CE6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5AB" w:rsidRPr="00656A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Анализ исполнения бюджета в разрезе </w:t>
      </w:r>
      <w:r w:rsidR="00F335AB"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F335AB" w:rsidRPr="00656A71" w:rsidRDefault="00F335AB" w:rsidP="00F335A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00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133"/>
        <w:gridCol w:w="1041"/>
        <w:gridCol w:w="1101"/>
        <w:gridCol w:w="1039"/>
        <w:gridCol w:w="1054"/>
        <w:gridCol w:w="1151"/>
      </w:tblGrid>
      <w:tr w:rsidR="00BA6D83" w:rsidRPr="002A4B69" w:rsidTr="00BD4B96">
        <w:trPr>
          <w:cantSplit/>
          <w:trHeight w:val="1397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957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957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Структура, %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637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6372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 к 20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6372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(+,-)</w:t>
            </w:r>
            <w:proofErr w:type="gram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6372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нено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</w:t>
            </w:r>
            <w:proofErr w:type="gram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6372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 к 20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6372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в %</w:t>
            </w:r>
          </w:p>
        </w:tc>
      </w:tr>
      <w:tr w:rsidR="00BA6D83" w:rsidRPr="002A4B69" w:rsidTr="00BD4B96">
        <w:trPr>
          <w:trHeight w:val="48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6D83" w:rsidRPr="002A4B69" w:rsidTr="00BD4B96">
        <w:trPr>
          <w:trHeight w:val="12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122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выплаты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BA6D83" w:rsidRPr="002A4B69" w:rsidTr="00BD4B96">
        <w:trPr>
          <w:trHeight w:val="38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49935,1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55562,5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5627,4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111,3</w:t>
            </w:r>
          </w:p>
        </w:tc>
      </w:tr>
      <w:tr w:rsidR="00BD4B96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060" w:rsidRPr="00D44060" w:rsidRDefault="00D44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96" w:rsidRPr="002A4B69" w:rsidRDefault="00BD4B9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4B96" w:rsidRPr="00D44060" w:rsidRDefault="00BD4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B96" w:rsidRPr="00D44060" w:rsidRDefault="00BD4B96" w:rsidP="00631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6D83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работы, услуги по содержанию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42727,7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48009,9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5282,2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112,4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7207,4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7552,6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345,2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104,8</w:t>
            </w:r>
          </w:p>
        </w:tc>
      </w:tr>
      <w:tr w:rsidR="00BA6D83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16438,7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19637,5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3198,8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119,5</w:t>
            </w:r>
          </w:p>
        </w:tc>
      </w:tr>
      <w:tr w:rsidR="00BA6D83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596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 xml:space="preserve">за счет перечислений 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учреждениям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7510,9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7482,3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-28,6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A6D83" w:rsidRPr="002A4B69" w:rsidTr="00BD4B96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596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 xml:space="preserve">за счет перечислений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некоммерческим и  нефинансовым организациям за иск</w:t>
            </w: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лючением муниципальных организаций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8927,7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11875,1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2947,4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133,0</w:t>
            </w:r>
          </w:p>
        </w:tc>
      </w:tr>
      <w:tr w:rsidR="00BA6D83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-23,7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</w:tr>
      <w:tr w:rsidR="00BA6D83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913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6D83" w:rsidRPr="002A4B69" w:rsidTr="00BD4B96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-23,7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Расходы по операциям с активами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4060" w:rsidRPr="00D44060" w:rsidRDefault="00D44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913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Расходование материальных запасов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913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241,0</w:t>
            </w:r>
          </w:p>
        </w:tc>
      </w:tr>
      <w:tr w:rsidR="00BA6D83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Приобретение нефинансовых активов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298293,3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298283,3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60" w:rsidRPr="00D44060" w:rsidRDefault="00BA6D83" w:rsidP="00BA6D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D44060" w:rsidRPr="00D44060">
              <w:rPr>
                <w:rFonts w:ascii="Times New Roman" w:hAnsi="Times New Roman" w:cs="Times New Roman"/>
                <w:color w:val="000000"/>
              </w:rPr>
              <w:t>29829</w:t>
            </w:r>
            <w:r>
              <w:rPr>
                <w:rFonts w:ascii="Times New Roman" w:hAnsi="Times New Roman" w:cs="Times New Roman"/>
                <w:color w:val="000000"/>
              </w:rPr>
              <w:t>,3 раз</w:t>
            </w:r>
          </w:p>
        </w:tc>
      </w:tr>
      <w:tr w:rsidR="00BA6D83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298289,4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298289,4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913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6D83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-6,1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</w:tr>
      <w:tr w:rsidR="00BA6D83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60" w:rsidRPr="002A4B69" w:rsidRDefault="00D4406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4060">
              <w:rPr>
                <w:rFonts w:ascii="Times New Roman" w:hAnsi="Times New Roman" w:cs="Times New Roman"/>
                <w:b/>
                <w:bCs/>
                <w:color w:val="000000"/>
              </w:rPr>
              <w:t>70882,9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4060">
              <w:rPr>
                <w:rFonts w:ascii="Times New Roman" w:hAnsi="Times New Roman" w:cs="Times New Roman"/>
                <w:b/>
                <w:bCs/>
                <w:color w:val="000000"/>
              </w:rPr>
              <w:t>373775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406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D44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4060">
              <w:rPr>
                <w:rFonts w:ascii="Times New Roman" w:hAnsi="Times New Roman" w:cs="Times New Roman"/>
                <w:b/>
                <w:bCs/>
                <w:color w:val="000000"/>
              </w:rPr>
              <w:t>302892,1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060" w:rsidRPr="00D44060" w:rsidRDefault="00085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5,7 раза</w:t>
            </w:r>
          </w:p>
        </w:tc>
      </w:tr>
    </w:tbl>
    <w:p w:rsidR="0002463B" w:rsidRDefault="00F335AB" w:rsidP="0083263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разрезе экономических статей расходов в 20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2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02463B">
        <w:rPr>
          <w:rFonts w:ascii="Times New Roman" w:eastAsia="Times New Roman" w:hAnsi="Times New Roman" w:cs="Times New Roman"/>
          <w:sz w:val="28"/>
          <w:szCs w:val="28"/>
        </w:rPr>
        <w:t>по КОСГУ 310 «</w:t>
      </w:r>
      <w:r w:rsidR="0002463B" w:rsidRPr="0002463B">
        <w:rPr>
          <w:rFonts w:ascii="Times New Roman" w:eastAsia="Times New Roman" w:hAnsi="Times New Roman" w:cs="Times New Roman"/>
          <w:sz w:val="28"/>
          <w:szCs w:val="28"/>
        </w:rPr>
        <w:t>Увеличение стоимости основных средств</w:t>
      </w:r>
      <w:r w:rsidR="0002463B">
        <w:rPr>
          <w:rFonts w:ascii="Times New Roman" w:eastAsia="Times New Roman" w:hAnsi="Times New Roman" w:cs="Times New Roman"/>
          <w:sz w:val="28"/>
          <w:szCs w:val="28"/>
        </w:rPr>
        <w:t xml:space="preserve">» - 79,8% и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коду КОСГУ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 «</w:t>
      </w:r>
      <w:r w:rsidRPr="00513E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работ, услуг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>работы, услуги по содержанию имущества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>прочие работы, услуги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63B">
        <w:rPr>
          <w:rFonts w:ascii="Times New Roman" w:eastAsia="Times New Roman" w:hAnsi="Times New Roman" w:cs="Times New Roman"/>
          <w:sz w:val="28"/>
          <w:szCs w:val="28"/>
        </w:rPr>
        <w:t>14,9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024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6F9" w:rsidRDefault="00F335AB" w:rsidP="00F33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основных средств (КОСГУ 310) в 2022 году составили 297293,4 тыс. рублей - имеют наибольший удельный вес и на 100,0% превышают расходы 2021 года.  Расходы </w:t>
      </w:r>
      <w:r w:rsidR="00A226F9" w:rsidRPr="007D1A6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оплату работ, услуг </w:t>
      </w:r>
      <w:proofErr w:type="gramStart"/>
      <w:r w:rsidRPr="007D1A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>11,3</w:t>
      </w:r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% выше </w:t>
      </w:r>
      <w:proofErr w:type="gramStart"/>
      <w:r w:rsidRPr="007D1A67">
        <w:rPr>
          <w:rFonts w:ascii="Times New Roman" w:eastAsia="Times New Roman" w:hAnsi="Times New Roman" w:cs="Times New Roman"/>
          <w:sz w:val="28"/>
          <w:szCs w:val="28"/>
        </w:rPr>
        <w:t>уровня</w:t>
      </w:r>
      <w:proofErr w:type="gramEnd"/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7C" w:rsidRPr="007D1A6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87C" w:rsidRPr="007D1A6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26F9" w:rsidRPr="007D1A67">
        <w:rPr>
          <w:rFonts w:ascii="Times New Roman" w:eastAsia="Times New Roman" w:hAnsi="Times New Roman" w:cs="Times New Roman"/>
          <w:sz w:val="28"/>
          <w:szCs w:val="28"/>
        </w:rPr>
        <w:t>, а р</w:t>
      </w:r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асходы на 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перечисления организациям </w:t>
      </w:r>
      <w:r w:rsidR="00A226F9" w:rsidRPr="007D1A67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 xml:space="preserve"> на 19,5 %</w:t>
      </w:r>
      <w:r w:rsidR="00A226F9" w:rsidRPr="007D1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CA8" w:rsidRDefault="00D01AE1" w:rsidP="00D01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 ст. 34 Бюджетного кодекса РФ при осуществлении расходов бюджета </w:t>
      </w:r>
      <w:r w:rsidR="00140CA8">
        <w:rPr>
          <w:rFonts w:ascii="Times New Roman" w:eastAsia="Times New Roman" w:hAnsi="Times New Roman" w:cs="Times New Roman"/>
          <w:b/>
          <w:sz w:val="28"/>
          <w:szCs w:val="28"/>
        </w:rPr>
        <w:t>Суражского городского поселения установлены неэффективные расходы</w:t>
      </w:r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>, выразивш</w:t>
      </w:r>
      <w:r w:rsidR="00140CA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>еся в оплате за счет бюджетных сре</w:t>
      </w:r>
      <w:proofErr w:type="gramStart"/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>дств штр</w:t>
      </w:r>
      <w:proofErr w:type="gramEnd"/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>аф</w:t>
      </w:r>
      <w:r w:rsidR="00140CA8">
        <w:rPr>
          <w:rFonts w:ascii="Times New Roman" w:eastAsia="Times New Roman" w:hAnsi="Times New Roman" w:cs="Times New Roman"/>
          <w:b/>
          <w:sz w:val="28"/>
          <w:szCs w:val="28"/>
        </w:rPr>
        <w:t>а и исполнительского сбора в 2-х случаях на сумму 230,0 тыс. рублей (30,0+200,0).</w:t>
      </w:r>
    </w:p>
    <w:p w:rsidR="00CE2D01" w:rsidRDefault="00DC266F" w:rsidP="00CE2D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7.3.</w:t>
      </w:r>
      <w:r w:rsidR="00D332D1" w:rsidRPr="00D3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 w:rsidR="00CE2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332D1" w:rsidRPr="00AD04A7" w:rsidRDefault="00D332D1" w:rsidP="00492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179.4 Бюджетного кодекса РФ в </w:t>
      </w:r>
      <w:proofErr w:type="spellStart"/>
      <w:r w:rsidR="005E636A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Суражском</w:t>
      </w:r>
      <w:proofErr w:type="spellEnd"/>
      <w:r w:rsidR="005E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поселении 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 дорожный фонд, объем которого на 20</w:t>
      </w:r>
      <w:r w:rsid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67D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утвержден (с учетом изменений) в объеме </w:t>
      </w:r>
      <w:r w:rsidR="003267D3">
        <w:rPr>
          <w:rFonts w:ascii="Times New Roman" w:eastAsia="Times New Roman" w:hAnsi="Times New Roman" w:cs="Times New Roman"/>
          <w:color w:val="000000"/>
          <w:sz w:val="28"/>
          <w:szCs w:val="28"/>
        </w:rPr>
        <w:t>338711,7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332D1" w:rsidRPr="00164B71" w:rsidRDefault="00524F97" w:rsidP="00492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32D1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формирования и использования бюджетных ассигнований дорожного фонда </w:t>
      </w:r>
      <w:r w:rsidR="008C70E9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="008C70E9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="00D332D1"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2D1" w:rsidRPr="009B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</w:t>
      </w:r>
      <w:r w:rsidR="00D332D1" w:rsidRPr="009B4F47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 от 18.11.2013 г. №</w:t>
      </w:r>
      <w:r w:rsidR="001E3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2D1" w:rsidRPr="009B4F47">
        <w:rPr>
          <w:rFonts w:ascii="Times New Roman" w:eastAsia="Times New Roman" w:hAnsi="Times New Roman" w:cs="Times New Roman"/>
          <w:sz w:val="28"/>
          <w:szCs w:val="28"/>
        </w:rPr>
        <w:t>246</w:t>
      </w:r>
      <w:r w:rsidR="001E314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="00D332D1" w:rsidRPr="009B4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D19" w:rsidRPr="00437D19" w:rsidRDefault="00437D19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проверке представлен Отчет об использовании средств дорожного фонда </w:t>
      </w:r>
      <w:r w:rsidR="008C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</w:t>
      </w:r>
      <w:r w:rsidR="00E875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27F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332D1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За  20</w:t>
      </w:r>
      <w:r w:rsidR="00227F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76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поступило доходов на формирование дорожного фонда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F52">
        <w:rPr>
          <w:rFonts w:ascii="Times New Roman" w:eastAsia="Times New Roman" w:hAnsi="Times New Roman" w:cs="Times New Roman"/>
          <w:color w:val="000000"/>
          <w:sz w:val="28"/>
          <w:szCs w:val="28"/>
        </w:rPr>
        <w:t>342478,9</w:t>
      </w:r>
      <w:r w:rsidR="00D36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C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5A4C" w:rsidRDefault="00BC5A4C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тыс. рублей </w:t>
      </w:r>
    </w:p>
    <w:tbl>
      <w:tblPr>
        <w:tblStyle w:val="ad"/>
        <w:tblW w:w="10375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478"/>
      </w:tblGrid>
      <w:tr w:rsidR="00DC266F" w:rsidTr="00BC5A4C">
        <w:tc>
          <w:tcPr>
            <w:tcW w:w="7196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источника</w:t>
            </w:r>
          </w:p>
        </w:tc>
        <w:tc>
          <w:tcPr>
            <w:tcW w:w="1701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(Уточненный)</w:t>
            </w:r>
          </w:p>
        </w:tc>
        <w:tc>
          <w:tcPr>
            <w:tcW w:w="1478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Доходы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дорожного фонда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подакцизным товарам (продукции)</w:t>
            </w:r>
          </w:p>
        </w:tc>
        <w:tc>
          <w:tcPr>
            <w:tcW w:w="1701" w:type="dxa"/>
          </w:tcPr>
          <w:p w:rsidR="00DC266F" w:rsidRDefault="009A5D99" w:rsidP="009A5D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2950,0</w:t>
            </w:r>
          </w:p>
        </w:tc>
        <w:tc>
          <w:tcPr>
            <w:tcW w:w="1478" w:type="dxa"/>
          </w:tcPr>
          <w:p w:rsidR="00DC266F" w:rsidRDefault="009A5D99" w:rsidP="009A5D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3000,3</w:t>
            </w:r>
          </w:p>
        </w:tc>
      </w:tr>
      <w:tr w:rsidR="00DC266F" w:rsidTr="00BC5A4C">
        <w:tc>
          <w:tcPr>
            <w:tcW w:w="7196" w:type="dxa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DC266F" w:rsidRDefault="003D2573" w:rsidP="003D2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21500,0</w:t>
            </w:r>
          </w:p>
        </w:tc>
        <w:tc>
          <w:tcPr>
            <w:tcW w:w="1478" w:type="dxa"/>
          </w:tcPr>
          <w:p w:rsidR="00DC266F" w:rsidRDefault="003D2573" w:rsidP="003D2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21500,0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МКД, подъезды к дворовым территориям МКД населенных пунктов</w:t>
            </w:r>
          </w:p>
        </w:tc>
        <w:tc>
          <w:tcPr>
            <w:tcW w:w="1701" w:type="dxa"/>
          </w:tcPr>
          <w:p w:rsidR="00DC266F" w:rsidRDefault="00A16A7D" w:rsidP="00A16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314261,7</w:t>
            </w:r>
          </w:p>
        </w:tc>
        <w:tc>
          <w:tcPr>
            <w:tcW w:w="1478" w:type="dxa"/>
          </w:tcPr>
          <w:p w:rsidR="00DC266F" w:rsidRDefault="004E2E1B" w:rsidP="004E2E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314261,7</w:t>
            </w:r>
          </w:p>
        </w:tc>
      </w:tr>
      <w:tr w:rsidR="004E2E1B" w:rsidTr="00BC5A4C">
        <w:tc>
          <w:tcPr>
            <w:tcW w:w="7196" w:type="dxa"/>
          </w:tcPr>
          <w:p w:rsidR="004E2E1B" w:rsidRPr="00D332D1" w:rsidRDefault="004E2E1B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источники (прочие остаток средств на едином счете бюджета)</w:t>
            </w:r>
          </w:p>
        </w:tc>
        <w:tc>
          <w:tcPr>
            <w:tcW w:w="1701" w:type="dxa"/>
          </w:tcPr>
          <w:p w:rsidR="004E2E1B" w:rsidRDefault="004E2E1B" w:rsidP="00A16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78" w:type="dxa"/>
          </w:tcPr>
          <w:p w:rsidR="004E2E1B" w:rsidRDefault="004E2E1B" w:rsidP="004E2E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3716,8</w:t>
            </w:r>
          </w:p>
        </w:tc>
      </w:tr>
      <w:tr w:rsidR="00DC266F" w:rsidTr="00BC5A4C">
        <w:tc>
          <w:tcPr>
            <w:tcW w:w="7196" w:type="dxa"/>
            <w:shd w:val="clear" w:color="auto" w:fill="B6DDE8" w:themeFill="accent5" w:themeFillTint="66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C266F" w:rsidRDefault="006B3339" w:rsidP="006B33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338711,7</w:t>
            </w:r>
          </w:p>
        </w:tc>
        <w:tc>
          <w:tcPr>
            <w:tcW w:w="1478" w:type="dxa"/>
            <w:shd w:val="clear" w:color="auto" w:fill="B6DDE8" w:themeFill="accent5" w:themeFillTint="66"/>
          </w:tcPr>
          <w:p w:rsidR="00DC266F" w:rsidRDefault="006B3339" w:rsidP="006B33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342478,9</w:t>
            </w:r>
          </w:p>
        </w:tc>
      </w:tr>
    </w:tbl>
    <w:p w:rsidR="001630A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Внешней проверкой установлено, что остаток средств дорожного фонда на 01.01.20</w:t>
      </w:r>
      <w:r w:rsidR="003B44B0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0D6115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составил </w:t>
      </w:r>
      <w:r w:rsidR="000D61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1687,7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тыс. рублей</w:t>
      </w:r>
      <w:r w:rsidR="00E437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</w:p>
    <w:p w:rsidR="00D332D1" w:rsidRPr="00D36F6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 </w:t>
      </w:r>
      <w:r w:rsidR="0066537C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расходования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фонда</w:t>
      </w:r>
      <w:r w:rsid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 20</w:t>
      </w:r>
      <w:r w:rsidR="00DF2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0D6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630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 в таблице:</w:t>
      </w:r>
    </w:p>
    <w:p w:rsidR="00D332D1" w:rsidRPr="00D332D1" w:rsidRDefault="00D332D1" w:rsidP="00D332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1030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2780"/>
      </w:tblGrid>
      <w:tr w:rsidR="00FA5C65" w:rsidRPr="00D332D1" w:rsidTr="006F7EE1">
        <w:trPr>
          <w:trHeight w:val="74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AE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66537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0D611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</w:t>
            </w:r>
            <w:r w:rsidR="00DF2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6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0D6115" w:rsidP="000D611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1687,7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D332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дорожного фонда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0D6115" w:rsidP="000D611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342478,9</w:t>
            </w:r>
          </w:p>
        </w:tc>
      </w:tr>
      <w:tr w:rsidR="00C951DB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49056A" w:rsidP="0049056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0D6115" w:rsidP="000D611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340558,9</w:t>
            </w:r>
          </w:p>
        </w:tc>
      </w:tr>
      <w:tr w:rsidR="000B7306" w:rsidRPr="00D332D1" w:rsidTr="006F7EE1">
        <w:trPr>
          <w:trHeight w:val="420"/>
        </w:trPr>
        <w:tc>
          <w:tcPr>
            <w:tcW w:w="10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06" w:rsidRPr="00D332D1" w:rsidRDefault="000B7306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Расходы: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AB2A38" w:rsidP="00AB2A3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AB2A38" w:rsidP="00AB2A3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E411A0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E9091F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42981,3</w:t>
            </w:r>
          </w:p>
        </w:tc>
      </w:tr>
      <w:tr w:rsidR="00E9091F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1F" w:rsidRPr="00D332D1" w:rsidRDefault="00E9091F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1F" w:rsidRPr="00D332D1" w:rsidRDefault="00E9091F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297477,2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AB2A3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</w:t>
            </w:r>
            <w:r w:rsidR="00490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AB2A38" w:rsidP="00AB2A3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3607,7</w:t>
            </w:r>
          </w:p>
        </w:tc>
      </w:tr>
    </w:tbl>
    <w:p w:rsidR="00284C6B" w:rsidRPr="00284C6B" w:rsidRDefault="00284C6B" w:rsidP="00284C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ab/>
      </w:r>
      <w:r w:rsidR="00546658">
        <w:rPr>
          <w:rFonts w:ascii="Times New Roman" w:eastAsia="Times New Roman" w:hAnsi="Times New Roman" w:cs="Times New Roman"/>
          <w:sz w:val="28"/>
          <w:szCs w:val="28"/>
        </w:rPr>
        <w:t xml:space="preserve">Расходы Дорожного фонда 340558,9 тыс. 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46658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израсходованы </w:t>
      </w:r>
      <w:proofErr w:type="gramStart"/>
      <w:r w:rsidR="0054665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4665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C6B" w:rsidRPr="00284C6B" w:rsidRDefault="007604D0" w:rsidP="00631AC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сохранности автомобильных дорог местного значения и условий безопасности движения по ним – 19</w:t>
      </w:r>
      <w:r w:rsidR="00631A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>543</w:t>
      </w:r>
      <w:r w:rsidR="00631AC9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631AC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631A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4C6B" w:rsidRPr="00284C6B" w:rsidRDefault="00284C6B" w:rsidP="00284C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ab/>
        <w:t xml:space="preserve">- разработка проектно-сметной документации по объекту: </w:t>
      </w:r>
      <w:proofErr w:type="gramStart"/>
      <w:r w:rsidRPr="00284C6B">
        <w:rPr>
          <w:rFonts w:ascii="Times New Roman" w:eastAsia="Times New Roman" w:hAnsi="Times New Roman" w:cs="Times New Roman"/>
          <w:sz w:val="28"/>
          <w:szCs w:val="28"/>
        </w:rPr>
        <w:t>«Капитальный ремонт моста ЗАО «Пролетарий» через реку Ипуть по улице Фабричная в городе Сураж Брянской области» – 1</w:t>
      </w:r>
      <w:r w:rsidR="00E80A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E80AC0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proofErr w:type="gramEnd"/>
    </w:p>
    <w:p w:rsidR="00284C6B" w:rsidRPr="00284C6B" w:rsidRDefault="00284C6B" w:rsidP="00284C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ab/>
        <w:t xml:space="preserve">- разработка и проверка сметных документаций по капитальному ремонту автомобильных дорог по ул. Ленина (от дома № 34 до дома № 36А), Фрунзе, Пионерская (3-й этап), им. </w:t>
      </w:r>
      <w:proofErr w:type="spellStart"/>
      <w:r w:rsidRPr="00284C6B">
        <w:rPr>
          <w:rFonts w:ascii="Times New Roman" w:eastAsia="Times New Roman" w:hAnsi="Times New Roman" w:cs="Times New Roman"/>
          <w:sz w:val="28"/>
          <w:szCs w:val="28"/>
        </w:rPr>
        <w:t>Болмата</w:t>
      </w:r>
      <w:proofErr w:type="spellEnd"/>
      <w:r w:rsidRPr="00284C6B">
        <w:rPr>
          <w:rFonts w:ascii="Times New Roman" w:eastAsia="Times New Roman" w:hAnsi="Times New Roman" w:cs="Times New Roman"/>
          <w:sz w:val="28"/>
          <w:szCs w:val="28"/>
        </w:rPr>
        <w:t>, Комсомольская, пер. Белорусский в г. Сураж Суражского района Брянской области  – 182</w:t>
      </w:r>
      <w:r w:rsidR="004A14F7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84C6B" w:rsidRPr="00284C6B" w:rsidRDefault="00284C6B" w:rsidP="00FB0D8F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сооружений на них  – 12</w:t>
      </w:r>
      <w:r w:rsidR="00FB0D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563</w:t>
      </w:r>
      <w:r w:rsidR="00FB0D8F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рублей;  </w:t>
      </w:r>
    </w:p>
    <w:p w:rsidR="00284C6B" w:rsidRPr="00284C6B" w:rsidRDefault="00284C6B" w:rsidP="007870E6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ремонт автомобильной дороги по ул. </w:t>
      </w:r>
      <w:proofErr w:type="gramStart"/>
      <w:r w:rsidRPr="00284C6B">
        <w:rPr>
          <w:rFonts w:ascii="Times New Roman" w:eastAsia="Times New Roman" w:hAnsi="Times New Roman" w:cs="Times New Roman"/>
          <w:sz w:val="28"/>
          <w:szCs w:val="28"/>
        </w:rPr>
        <w:t>Ново-Садовая</w:t>
      </w:r>
      <w:proofErr w:type="gramEnd"/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в  г. Сураж Суражского района Брянской области  – 5</w:t>
      </w:r>
      <w:r w:rsidR="007870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083</w:t>
      </w:r>
      <w:r w:rsidR="007870E6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84C6B" w:rsidRPr="00284C6B" w:rsidRDefault="00284C6B" w:rsidP="00772706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сметной документации по ремонту автомобильной дороги по ул. Красная (подъе</w:t>
      </w:r>
      <w:proofErr w:type="gramStart"/>
      <w:r w:rsidRPr="00284C6B">
        <w:rPr>
          <w:rFonts w:ascii="Times New Roman" w:eastAsia="Times New Roman" w:hAnsi="Times New Roman" w:cs="Times New Roman"/>
          <w:sz w:val="28"/>
          <w:szCs w:val="28"/>
        </w:rPr>
        <w:t>зд к зд</w:t>
      </w:r>
      <w:proofErr w:type="gramEnd"/>
      <w:r w:rsidRPr="00284C6B">
        <w:rPr>
          <w:rFonts w:ascii="Times New Roman" w:eastAsia="Times New Roman" w:hAnsi="Times New Roman" w:cs="Times New Roman"/>
          <w:sz w:val="28"/>
          <w:szCs w:val="28"/>
        </w:rPr>
        <w:t>анию МБУ ДО «</w:t>
      </w:r>
      <w:proofErr w:type="spellStart"/>
      <w:r w:rsidRPr="00284C6B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школа искусств им. А.П. Ковалевского»)  – 21</w:t>
      </w:r>
      <w:r w:rsidR="009C49FF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84C6B" w:rsidRPr="00284C6B" w:rsidRDefault="00284C6B" w:rsidP="00CF42B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>- проверка проектно-сметной документации по объекту: «Строительство моста через р. Ипуть, соединяющего ул. Фабричную и ул. Лесную в г. Сураж Суражского района Брянской области»</w:t>
      </w:r>
      <w:r w:rsidR="00CF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– 200</w:t>
      </w:r>
      <w:r w:rsidR="00CF42B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84C6B" w:rsidRPr="00284C6B" w:rsidRDefault="00284C6B" w:rsidP="00284C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ab/>
        <w:t>- проведение повторной государственной экспертизы проектной документации в объеме проверки достоверности определения сметной стоимости по объекту: «Строительство моста через р. Ипуть, соединяющего ул. Фабричную и ул. Лесную в г. Сураж Суражского района Брянской области» – 48</w:t>
      </w:r>
      <w:r w:rsidR="00466607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284C6B" w:rsidRPr="00284C6B" w:rsidRDefault="00284C6B" w:rsidP="0046660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дорожного движения – 100</w:t>
      </w:r>
      <w:r w:rsidR="00903DD9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 (установка дорожных знаков на улицах г. Суража Брянской области);   </w:t>
      </w:r>
    </w:p>
    <w:p w:rsidR="00284C6B" w:rsidRPr="00284C6B" w:rsidRDefault="001465F9" w:rsidP="00284C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>реализация инвестиционных проектов, одобренных в соответствии с постановлением Правительства Российской Федерации от 19 октября 2020 года  № 1704 (мост через р. Ипуть, соединяющий ул. Фабричную и ул. Лесную в                   г. Сураж Суражского района Брянской области) – 297</w:t>
      </w:r>
      <w:r w:rsidR="00903D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>477</w:t>
      </w:r>
      <w:r w:rsidR="00903DD9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рубля, в том числе</w:t>
      </w:r>
      <w:r w:rsidR="00903D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48FA" w:rsidRDefault="00284C6B" w:rsidP="00284C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ab/>
      </w:r>
      <w:r w:rsidR="003A48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надзор (строительный контроль) по объекту: «Строительство моста через р. Ипуть, соединяющего ул. Фабричную и ул. Лесную в г. Сураж Суражского района Брянской области» – 3</w:t>
      </w:r>
      <w:r w:rsidR="003A48F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294</w:t>
      </w:r>
      <w:r w:rsidR="003A48FA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A48FA">
        <w:rPr>
          <w:rFonts w:ascii="Times New Roman" w:eastAsia="Times New Roman" w:hAnsi="Times New Roman" w:cs="Times New Roman"/>
          <w:sz w:val="28"/>
          <w:szCs w:val="28"/>
        </w:rPr>
        <w:t>ей;</w:t>
      </w:r>
    </w:p>
    <w:p w:rsidR="003A48FA" w:rsidRDefault="00284C6B" w:rsidP="003A48FA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>- компенсация ущерба рыбным запасам при проведении мероприятия: «Строительство моста через р. Ипуть, соединяющего ул. Фабричную и ул. Лесную в г. Сураж Суражского района Брянской области» – 8</w:t>
      </w:r>
      <w:r w:rsidR="003A48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363</w:t>
      </w:r>
      <w:r w:rsidR="003A48FA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A48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4EB" w:rsidRDefault="00284C6B" w:rsidP="009F24E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>- компенсация затрат, вызванных переносом объекта газораспределения со станцией катодной защиты с территории строительства объекта: «Строительство моста через р. Ипуть, соединяющего ул. Фабричную и ул. Лесную в г. Сураж Суражского района Брянской области» – 4</w:t>
      </w:r>
      <w:r w:rsidR="009F24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810</w:t>
      </w:r>
      <w:r w:rsidR="009F24EB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9F2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EDE" w:rsidRDefault="00284C6B" w:rsidP="00DE7EDE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>- компенсация затрат, вызванных переустройством объектов электросетевого хозяйства с территории строительства объекта: «Строительство моста через  р. Ипуть, соединяющего ул. Фабричную и ул. Лесную в г. Сураж Суражского района Брянской области» – 5</w:t>
      </w:r>
      <w:r w:rsidR="00DE7E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723</w:t>
      </w:r>
      <w:r w:rsidR="00DE7EDE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DE7E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51A5" w:rsidRDefault="00284C6B" w:rsidP="008B51A5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- компенсация затрат, вызванных переносом объектов электросетевого хозяйства с территории строительства объекта: </w:t>
      </w:r>
      <w:proofErr w:type="gramStart"/>
      <w:r w:rsidRPr="00284C6B">
        <w:rPr>
          <w:rFonts w:ascii="Times New Roman" w:eastAsia="Times New Roman" w:hAnsi="Times New Roman" w:cs="Times New Roman"/>
          <w:sz w:val="28"/>
          <w:szCs w:val="28"/>
        </w:rPr>
        <w:t>«Строительство моста через  р. Ипуть, соединяющего ул. Фабричную и ул. Лесную в г. Сураж Суражского района Брянской области» – 780</w:t>
      </w:r>
      <w:r w:rsidR="008B51A5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8B51A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B34C7" w:rsidRDefault="008B51A5" w:rsidP="00284C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5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моста через р. Ипуть, соединяющего  ул. Фабричную и ул. Лесную в г. Сураж Суражского района Брянской области – 274</w:t>
      </w:r>
      <w:r w:rsidR="008B34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>505</w:t>
      </w:r>
      <w:r w:rsidR="008B34C7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B34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4C6B" w:rsidRPr="00284C6B" w:rsidRDefault="006F3641" w:rsidP="00284C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E06A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сохранности автомобильных дорог местного значения и условий безопасности движения по ним (государственная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области». </w:t>
      </w:r>
      <w:proofErr w:type="gramStart"/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>Подпрограмма «Автомобильные дороги») – 23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>437</w:t>
      </w:r>
      <w:r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="00284C6B"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57166" w:rsidRDefault="00284C6B" w:rsidP="00EC191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Фрунзе в г. Сураже Суражского района Брянской области – 5</w:t>
      </w:r>
      <w:r w:rsidR="005571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7166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5571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000" w:rsidRDefault="00284C6B" w:rsidP="0055716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- капитальный ремонт автомобильной дороги по ул. </w:t>
      </w:r>
      <w:proofErr w:type="gramStart"/>
      <w:r w:rsidRPr="00284C6B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в г. Сураже Суражского района Брянской области (6-й этап) – 1</w:t>
      </w:r>
      <w:r w:rsidR="00D730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D73000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730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000" w:rsidRDefault="00284C6B" w:rsidP="00D7300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автомобильной дороги по ул. </w:t>
      </w:r>
      <w:proofErr w:type="gramStart"/>
      <w:r w:rsidRPr="00284C6B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в г. Сураже Суражского района Брянской области (1-й этап) – 2</w:t>
      </w:r>
      <w:r w:rsidR="00D730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947</w:t>
      </w:r>
      <w:r w:rsidR="00D73000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730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AE8" w:rsidRDefault="00284C6B" w:rsidP="00251AE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автомобильной дороги по ул. </w:t>
      </w:r>
      <w:proofErr w:type="gramStart"/>
      <w:r w:rsidRPr="00284C6B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в г. Сураже Суражского района Брянской области (2-й этап) – 3</w:t>
      </w:r>
      <w:r w:rsidR="00251A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974</w:t>
      </w:r>
      <w:r w:rsidR="00251AE8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251A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2F9" w:rsidRDefault="00284C6B" w:rsidP="00A012F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автомобильной дороги по ул. </w:t>
      </w:r>
      <w:proofErr w:type="gramStart"/>
      <w:r w:rsidRPr="00284C6B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в г. Сураже Суражского района Брянской области (3-й этап) – 2</w:t>
      </w:r>
      <w:r w:rsidR="00A012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832</w:t>
      </w:r>
      <w:r w:rsidR="00A012F9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A012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0630" w:rsidRDefault="00284C6B" w:rsidP="00CC0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Ленина в  г. Сураже Суражского района Брянской области (от дома № 34 до дома № 36А) – 1</w:t>
      </w:r>
      <w:r w:rsidR="00CC063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296</w:t>
      </w:r>
      <w:r w:rsidR="00CC0630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CC0630">
        <w:rPr>
          <w:rFonts w:ascii="Times New Roman" w:eastAsia="Times New Roman" w:hAnsi="Times New Roman" w:cs="Times New Roman"/>
          <w:sz w:val="28"/>
          <w:szCs w:val="28"/>
        </w:rPr>
        <w:t>ей;</w:t>
      </w:r>
    </w:p>
    <w:p w:rsidR="00DF121C" w:rsidRDefault="00284C6B" w:rsidP="00DF12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- капитальный ремонт автомобильной дороги по ул. им. </w:t>
      </w:r>
      <w:proofErr w:type="spellStart"/>
      <w:r w:rsidRPr="00284C6B">
        <w:rPr>
          <w:rFonts w:ascii="Times New Roman" w:eastAsia="Times New Roman" w:hAnsi="Times New Roman" w:cs="Times New Roman"/>
          <w:sz w:val="28"/>
          <w:szCs w:val="28"/>
        </w:rPr>
        <w:t>Болмата</w:t>
      </w:r>
      <w:proofErr w:type="spellEnd"/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в г. Сураже Суражского района Брянской области – 6</w:t>
      </w:r>
      <w:r w:rsidR="00DF12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056</w:t>
      </w:r>
      <w:r w:rsidR="00DF121C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DF121C">
        <w:rPr>
          <w:rFonts w:ascii="Times New Roman" w:eastAsia="Times New Roman" w:hAnsi="Times New Roman" w:cs="Times New Roman"/>
          <w:sz w:val="28"/>
          <w:szCs w:val="28"/>
        </w:rPr>
        <w:t>ей;</w:t>
      </w:r>
    </w:p>
    <w:p w:rsidR="00E57E33" w:rsidRDefault="006351CA" w:rsidP="00E2039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Таким образом</w:t>
      </w:r>
      <w:r w:rsidR="009E090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остаток средств дорожного фонда на 01.01.20</w:t>
      </w:r>
      <w:r w:rsidR="004905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B525A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года </w:t>
      </w:r>
      <w:r w:rsidR="00057FB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B525A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со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ставил </w:t>
      </w:r>
      <w:r w:rsidR="00B525A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3607,7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тыс. рублей</w:t>
      </w:r>
      <w:r w:rsidR="00E2039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906427" w:rsidRPr="00906427" w:rsidRDefault="00906427" w:rsidP="00906427">
      <w:pPr>
        <w:widowControl w:val="0"/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427">
        <w:rPr>
          <w:rFonts w:ascii="Times New Roman" w:hAnsi="Times New Roman" w:cs="Times New Roman"/>
          <w:b/>
          <w:color w:val="000000"/>
          <w:sz w:val="28"/>
          <w:szCs w:val="28"/>
        </w:rPr>
        <w:t>7.4. Провести анализ дефицита (профицита) бюджета и источников финансирования дефицита бюджета.</w:t>
      </w:r>
    </w:p>
    <w:p w:rsidR="002C189E" w:rsidRPr="00217614" w:rsidRDefault="005A1525" w:rsidP="002C1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3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7AB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F67A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F67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20</w:t>
      </w:r>
      <w:r w:rsidR="00F36619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BA666C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 </w:t>
      </w:r>
      <w:r w:rsidR="002C189E" w:rsidRPr="00217614">
        <w:rPr>
          <w:rFonts w:ascii="Times New Roman" w:hAnsi="Times New Roman"/>
          <w:sz w:val="28"/>
          <w:szCs w:val="28"/>
        </w:rPr>
        <w:t xml:space="preserve">бюджет утвержден бездефицитным. </w:t>
      </w:r>
    </w:p>
    <w:p w:rsidR="002915ED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/>
          <w:sz w:val="28"/>
          <w:szCs w:val="28"/>
        </w:rPr>
        <w:t>В течение 20</w:t>
      </w:r>
      <w:r w:rsidR="00F36619">
        <w:rPr>
          <w:rFonts w:ascii="Times New Roman" w:hAnsi="Times New Roman"/>
          <w:sz w:val="28"/>
          <w:szCs w:val="28"/>
        </w:rPr>
        <w:t>2</w:t>
      </w:r>
      <w:r w:rsidR="006C5001">
        <w:rPr>
          <w:rFonts w:ascii="Times New Roman" w:hAnsi="Times New Roman"/>
          <w:sz w:val="28"/>
          <w:szCs w:val="28"/>
        </w:rPr>
        <w:t>2</w:t>
      </w:r>
      <w:r w:rsidRPr="00217614">
        <w:rPr>
          <w:rFonts w:ascii="Times New Roman" w:hAnsi="Times New Roman"/>
          <w:sz w:val="28"/>
          <w:szCs w:val="28"/>
        </w:rPr>
        <w:t xml:space="preserve"> года </w:t>
      </w:r>
      <w:r w:rsidR="002915ED" w:rsidRPr="00217614">
        <w:rPr>
          <w:rFonts w:ascii="Times New Roman" w:hAnsi="Times New Roman"/>
          <w:sz w:val="28"/>
          <w:szCs w:val="28"/>
        </w:rPr>
        <w:t xml:space="preserve">в порядке законодательной инициативы в бюджет поселения </w:t>
      </w:r>
      <w:r w:rsidR="006C5001">
        <w:rPr>
          <w:rFonts w:ascii="Times New Roman" w:hAnsi="Times New Roman"/>
          <w:sz w:val="28"/>
          <w:szCs w:val="28"/>
        </w:rPr>
        <w:t>4</w:t>
      </w:r>
      <w:r w:rsidRPr="00217614">
        <w:rPr>
          <w:rFonts w:ascii="Times New Roman" w:hAnsi="Times New Roman"/>
          <w:sz w:val="28"/>
          <w:szCs w:val="28"/>
        </w:rPr>
        <w:t xml:space="preserve"> раза были внесены изменения</w:t>
      </w:r>
      <w:r w:rsidR="002915ED" w:rsidRPr="00217614">
        <w:rPr>
          <w:rFonts w:ascii="Times New Roman" w:hAnsi="Times New Roman"/>
          <w:sz w:val="28"/>
          <w:szCs w:val="28"/>
        </w:rPr>
        <w:t>.</w:t>
      </w:r>
      <w:r w:rsidR="00906427">
        <w:rPr>
          <w:rFonts w:ascii="Times New Roman" w:hAnsi="Times New Roman"/>
          <w:sz w:val="28"/>
          <w:szCs w:val="28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 xml:space="preserve"> </w:t>
      </w:r>
      <w:r w:rsidR="002915ED" w:rsidRPr="00217614">
        <w:rPr>
          <w:rFonts w:ascii="Times New Roman" w:hAnsi="Times New Roman"/>
          <w:sz w:val="28"/>
          <w:szCs w:val="28"/>
        </w:rPr>
        <w:t>В</w:t>
      </w:r>
      <w:r w:rsidRPr="00217614">
        <w:rPr>
          <w:rFonts w:ascii="Times New Roman" w:hAnsi="Times New Roman"/>
          <w:sz w:val="28"/>
          <w:szCs w:val="28"/>
        </w:rPr>
        <w:t xml:space="preserve"> результате чего утвержден </w:t>
      </w:r>
      <w:r w:rsidR="00491F19">
        <w:rPr>
          <w:rFonts w:ascii="Times New Roman" w:hAnsi="Times New Roman"/>
          <w:sz w:val="28"/>
          <w:szCs w:val="28"/>
        </w:rPr>
        <w:t>про</w:t>
      </w:r>
      <w:r w:rsidRPr="00217614">
        <w:rPr>
          <w:rFonts w:ascii="Times New Roman" w:hAnsi="Times New Roman"/>
          <w:sz w:val="28"/>
          <w:szCs w:val="28"/>
        </w:rPr>
        <w:t xml:space="preserve">фицит в сумме </w:t>
      </w:r>
      <w:r w:rsidR="006C5001">
        <w:rPr>
          <w:rFonts w:ascii="Times New Roman" w:hAnsi="Times New Roman"/>
          <w:sz w:val="28"/>
          <w:szCs w:val="28"/>
        </w:rPr>
        <w:t>15685,7</w:t>
      </w:r>
      <w:r w:rsidRPr="00217614">
        <w:rPr>
          <w:rFonts w:ascii="Times New Roman" w:hAnsi="Times New Roman"/>
          <w:sz w:val="28"/>
          <w:szCs w:val="28"/>
        </w:rPr>
        <w:t xml:space="preserve"> тыс. рублей,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при этом утвержден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ы источники финансирования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– изменение остатков на счетах по учету средств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(остат</w:t>
      </w:r>
      <w:r w:rsidR="002C492C" w:rsidRPr="00217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>к на 01.01.20</w:t>
      </w:r>
      <w:r w:rsidR="00491F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50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– </w:t>
      </w:r>
      <w:r w:rsidR="006C5001">
        <w:rPr>
          <w:rFonts w:ascii="Times New Roman" w:eastAsia="Times New Roman" w:hAnsi="Times New Roman" w:cs="Times New Roman"/>
          <w:sz w:val="28"/>
          <w:szCs w:val="28"/>
        </w:rPr>
        <w:t>5740,8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89E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</w:t>
      </w:r>
      <w:r w:rsidR="00491F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50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6C500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67B6A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6C5001">
        <w:rPr>
          <w:rFonts w:ascii="Times New Roman" w:eastAsia="Times New Roman" w:hAnsi="Times New Roman" w:cs="Times New Roman"/>
          <w:sz w:val="28"/>
          <w:szCs w:val="28"/>
        </w:rPr>
        <w:t>22886,9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58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89E" w:rsidRPr="00217614" w:rsidRDefault="002915ED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39179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установленные ст. 92.1 Бюджетного кодекса РФ соблюдены.</w:t>
      </w:r>
    </w:p>
    <w:p w:rsidR="00814831" w:rsidRPr="00814831" w:rsidRDefault="00814831" w:rsidP="00BC5A4C">
      <w:pPr>
        <w:autoSpaceDE w:val="0"/>
        <w:autoSpaceDN w:val="0"/>
        <w:adjustRightInd w:val="0"/>
        <w:spacing w:after="0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831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C5001">
        <w:rPr>
          <w:rFonts w:ascii="Times New Roman" w:hAnsi="Times New Roman" w:cs="Times New Roman"/>
          <w:sz w:val="28"/>
          <w:szCs w:val="28"/>
        </w:rPr>
        <w:t>3</w:t>
      </w:r>
      <w:r w:rsidRPr="00814831">
        <w:rPr>
          <w:rFonts w:ascii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6C5001">
        <w:rPr>
          <w:rFonts w:ascii="Times New Roman" w:hAnsi="Times New Roman" w:cs="Times New Roman"/>
          <w:sz w:val="28"/>
          <w:szCs w:val="28"/>
        </w:rPr>
        <w:t>28627,8</w:t>
      </w:r>
      <w:r w:rsidRPr="00814831">
        <w:rPr>
          <w:rFonts w:ascii="Times New Roman" w:hAnsi="Times New Roman" w:cs="Times New Roman"/>
          <w:sz w:val="28"/>
          <w:szCs w:val="28"/>
        </w:rPr>
        <w:t> тыс. рублей, увеличившись за отчетный период на </w:t>
      </w:r>
      <w:r w:rsidR="006C5001">
        <w:rPr>
          <w:rFonts w:ascii="Times New Roman" w:hAnsi="Times New Roman" w:cs="Times New Roman"/>
          <w:sz w:val="28"/>
          <w:szCs w:val="28"/>
        </w:rPr>
        <w:t>22887,0</w:t>
      </w:r>
      <w:r w:rsidRPr="00814831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5F64AD" w:rsidRPr="0013604F" w:rsidRDefault="005F64AD" w:rsidP="00D36F63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3604F">
        <w:rPr>
          <w:rFonts w:ascii="Times New Roman" w:hAnsi="Times New Roman" w:cs="Times New Roman"/>
          <w:b/>
          <w:spacing w:val="-6"/>
          <w:sz w:val="28"/>
          <w:szCs w:val="28"/>
        </w:rPr>
        <w:t>7.</w:t>
      </w:r>
      <w:r w:rsidR="00904585" w:rsidRPr="0013604F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13604F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13604F">
        <w:rPr>
          <w:rFonts w:ascii="Times New Roman" w:hAnsi="Times New Roman" w:cs="Times New Roman"/>
          <w:b/>
          <w:sz w:val="28"/>
          <w:szCs w:val="28"/>
        </w:rPr>
        <w:t>Провести анализ с</w:t>
      </w:r>
      <w:r w:rsidRPr="0013604F">
        <w:rPr>
          <w:rFonts w:ascii="Times New Roman" w:hAnsi="Times New Roman" w:cs="Times New Roman"/>
          <w:b/>
          <w:spacing w:val="-6"/>
          <w:sz w:val="28"/>
          <w:szCs w:val="28"/>
        </w:rPr>
        <w:t>остояния внутреннего долга муниципального образования.</w:t>
      </w:r>
    </w:p>
    <w:p w:rsidR="005F64AD" w:rsidRPr="00C1691A" w:rsidRDefault="005F64AD" w:rsidP="00D36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604F">
        <w:rPr>
          <w:rFonts w:ascii="Times New Roman" w:hAnsi="Times New Roman" w:cs="Times New Roman"/>
          <w:spacing w:val="-6"/>
          <w:sz w:val="28"/>
          <w:szCs w:val="28"/>
        </w:rPr>
        <w:t xml:space="preserve">Пунктом 1 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Решения </w:t>
      </w:r>
      <w:r w:rsidR="00C1691A" w:rsidRPr="0013604F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от </w:t>
      </w:r>
      <w:r w:rsidR="0013604F" w:rsidRPr="0013604F">
        <w:rPr>
          <w:rFonts w:ascii="Times New Roman" w:eastAsia="Times New Roman" w:hAnsi="Times New Roman" w:cs="Times New Roman"/>
          <w:spacing w:val="-6"/>
          <w:sz w:val="28"/>
        </w:rPr>
        <w:t>22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>.12.20</w:t>
      </w:r>
      <w:r w:rsidR="001E3149" w:rsidRPr="0013604F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13604F" w:rsidRPr="0013604F">
        <w:rPr>
          <w:rFonts w:ascii="Times New Roman" w:eastAsia="Times New Roman" w:hAnsi="Times New Roman" w:cs="Times New Roman"/>
          <w:spacing w:val="-6"/>
          <w:sz w:val="28"/>
        </w:rPr>
        <w:t>1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>г. №</w:t>
      </w:r>
      <w:r w:rsidR="003C207E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3604F" w:rsidRPr="0013604F">
        <w:rPr>
          <w:rFonts w:ascii="Times New Roman" w:eastAsia="Times New Roman" w:hAnsi="Times New Roman" w:cs="Times New Roman"/>
          <w:spacing w:val="-6"/>
          <w:sz w:val="28"/>
        </w:rPr>
        <w:t>83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«О бюджете </w:t>
      </w:r>
      <w:r w:rsidR="008C70E9" w:rsidRPr="00136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136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</w:t>
      </w:r>
      <w:r w:rsidR="00EA68CE" w:rsidRPr="00136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</w:t>
      </w:r>
      <w:r w:rsidR="008C70E9" w:rsidRPr="0013604F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на 20</w:t>
      </w:r>
      <w:r w:rsidR="003C207E" w:rsidRPr="0013604F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13604F" w:rsidRPr="0013604F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год и плановый период 202</w:t>
      </w:r>
      <w:r w:rsidR="0013604F" w:rsidRPr="0013604F">
        <w:rPr>
          <w:rFonts w:ascii="Times New Roman" w:eastAsia="Times New Roman" w:hAnsi="Times New Roman" w:cs="Times New Roman"/>
          <w:spacing w:val="-6"/>
          <w:sz w:val="28"/>
        </w:rPr>
        <w:t>3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и 202</w:t>
      </w:r>
      <w:r w:rsidR="0013604F" w:rsidRPr="0013604F">
        <w:rPr>
          <w:rFonts w:ascii="Times New Roman" w:eastAsia="Times New Roman" w:hAnsi="Times New Roman" w:cs="Times New Roman"/>
          <w:spacing w:val="-6"/>
          <w:sz w:val="28"/>
        </w:rPr>
        <w:t>4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годов» </w:t>
      </w:r>
      <w:r w:rsidRPr="0013604F">
        <w:rPr>
          <w:rFonts w:ascii="Times New Roman" w:hAnsi="Times New Roman" w:cs="Times New Roman"/>
          <w:spacing w:val="-6"/>
          <w:sz w:val="28"/>
          <w:szCs w:val="28"/>
        </w:rPr>
        <w:t xml:space="preserve">показатель верхнего предела муниципального внутреннего долга поселения на </w:t>
      </w:r>
      <w:r w:rsidRPr="0013604F">
        <w:rPr>
          <w:rFonts w:ascii="Times New Roman" w:hAnsi="Times New Roman" w:cs="Times New Roman"/>
          <w:sz w:val="28"/>
          <w:szCs w:val="28"/>
        </w:rPr>
        <w:t>01.01.20</w:t>
      </w:r>
      <w:r w:rsidR="00C1691A" w:rsidRPr="0013604F">
        <w:rPr>
          <w:rFonts w:ascii="Times New Roman" w:hAnsi="Times New Roman" w:cs="Times New Roman"/>
          <w:sz w:val="28"/>
          <w:szCs w:val="28"/>
        </w:rPr>
        <w:t>2</w:t>
      </w:r>
      <w:r w:rsidR="0013604F" w:rsidRPr="0013604F">
        <w:rPr>
          <w:rFonts w:ascii="Times New Roman" w:hAnsi="Times New Roman" w:cs="Times New Roman"/>
          <w:sz w:val="28"/>
          <w:szCs w:val="28"/>
        </w:rPr>
        <w:t>3</w:t>
      </w:r>
      <w:r w:rsidRPr="0013604F">
        <w:rPr>
          <w:rFonts w:ascii="Times New Roman" w:hAnsi="Times New Roman" w:cs="Times New Roman"/>
          <w:sz w:val="28"/>
          <w:szCs w:val="28"/>
        </w:rPr>
        <w:t xml:space="preserve"> </w:t>
      </w:r>
      <w:r w:rsidRPr="0013604F">
        <w:rPr>
          <w:rFonts w:ascii="Times New Roman" w:hAnsi="Times New Roman" w:cs="Times New Roman"/>
          <w:spacing w:val="-6"/>
          <w:sz w:val="28"/>
          <w:szCs w:val="28"/>
        </w:rPr>
        <w:t>года утвержден с нулевым значением. Согласно данным отчетности указанный показатель выполнен, внутренний долг отсутствует, муниципальные гарантии не предоставлялись</w:t>
      </w:r>
      <w:r w:rsidRPr="00C1691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F64AD" w:rsidRPr="002A41AE" w:rsidRDefault="005F64AD" w:rsidP="000408FF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A41AE">
        <w:rPr>
          <w:rFonts w:ascii="Times New Roman" w:hAnsi="Times New Roman" w:cs="Times New Roman"/>
          <w:b/>
          <w:sz w:val="28"/>
          <w:szCs w:val="28"/>
        </w:rPr>
        <w:t>7.</w:t>
      </w:r>
      <w:r w:rsidR="00904585">
        <w:rPr>
          <w:rFonts w:ascii="Times New Roman" w:hAnsi="Times New Roman" w:cs="Times New Roman"/>
          <w:b/>
          <w:sz w:val="28"/>
          <w:szCs w:val="28"/>
        </w:rPr>
        <w:t>6</w:t>
      </w:r>
      <w:r w:rsidRPr="002A41AE">
        <w:rPr>
          <w:rFonts w:ascii="Times New Roman" w:hAnsi="Times New Roman" w:cs="Times New Roman"/>
          <w:b/>
          <w:sz w:val="28"/>
          <w:szCs w:val="28"/>
        </w:rPr>
        <w:t xml:space="preserve">. Провести анализ </w:t>
      </w:r>
      <w:r w:rsidRPr="002A41AE">
        <w:rPr>
          <w:rFonts w:ascii="Times New Roman" w:hAnsi="Times New Roman" w:cs="Times New Roman"/>
          <w:b/>
          <w:spacing w:val="-6"/>
          <w:sz w:val="28"/>
          <w:szCs w:val="28"/>
        </w:rPr>
        <w:t>состояния дебиторской и кредиторской задолженности</w:t>
      </w:r>
      <w:r w:rsidR="00F84CD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(ф. 0503169)</w:t>
      </w:r>
      <w:r w:rsidRPr="002A41AE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5F64AD" w:rsidRPr="000408FF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по состоянию</w:t>
      </w:r>
      <w:r w:rsidRPr="000408FF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0C62CD">
        <w:rPr>
          <w:rFonts w:ascii="Times New Roman" w:hAnsi="Times New Roman" w:cs="Times New Roman"/>
          <w:sz w:val="28"/>
          <w:szCs w:val="28"/>
        </w:rPr>
        <w:t>2</w:t>
      </w:r>
      <w:r w:rsidR="00560D7B">
        <w:rPr>
          <w:rFonts w:ascii="Times New Roman" w:hAnsi="Times New Roman" w:cs="Times New Roman"/>
          <w:sz w:val="28"/>
          <w:szCs w:val="28"/>
        </w:rPr>
        <w:t>2</w:t>
      </w:r>
      <w:r w:rsidRPr="000408F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560D7B">
        <w:rPr>
          <w:rFonts w:ascii="Times New Roman" w:hAnsi="Times New Roman" w:cs="Times New Roman"/>
          <w:sz w:val="28"/>
          <w:szCs w:val="28"/>
        </w:rPr>
        <w:t>764980,6</w:t>
      </w:r>
      <w:r w:rsidRPr="000408FF">
        <w:rPr>
          <w:rFonts w:ascii="Times New Roman" w:hAnsi="Times New Roman" w:cs="Times New Roman"/>
          <w:sz w:val="28"/>
          <w:szCs w:val="28"/>
        </w:rPr>
        <w:t xml:space="preserve"> тыс. рублей, в течение отчетного периода задолженность </w:t>
      </w:r>
      <w:r w:rsidR="00886F22">
        <w:rPr>
          <w:rFonts w:ascii="Times New Roman" w:hAnsi="Times New Roman" w:cs="Times New Roman"/>
          <w:sz w:val="28"/>
          <w:szCs w:val="28"/>
        </w:rPr>
        <w:t>снизилась</w:t>
      </w:r>
      <w:r w:rsidRPr="000408FF">
        <w:rPr>
          <w:rFonts w:ascii="Times New Roman" w:hAnsi="Times New Roman" w:cs="Times New Roman"/>
          <w:sz w:val="28"/>
          <w:szCs w:val="28"/>
        </w:rPr>
        <w:t xml:space="preserve"> на </w:t>
      </w:r>
      <w:r w:rsidR="00886F22">
        <w:rPr>
          <w:rFonts w:ascii="Times New Roman" w:hAnsi="Times New Roman" w:cs="Times New Roman"/>
          <w:sz w:val="28"/>
          <w:szCs w:val="28"/>
        </w:rPr>
        <w:t>359559,7</w:t>
      </w:r>
      <w:r w:rsidR="006573B0" w:rsidRPr="000408FF">
        <w:rPr>
          <w:rFonts w:ascii="Times New Roman" w:hAnsi="Times New Roman" w:cs="Times New Roman"/>
          <w:sz w:val="28"/>
          <w:szCs w:val="28"/>
        </w:rPr>
        <w:t xml:space="preserve"> </w:t>
      </w:r>
      <w:r w:rsidRPr="000408FF">
        <w:rPr>
          <w:rFonts w:ascii="Times New Roman" w:hAnsi="Times New Roman" w:cs="Times New Roman"/>
          <w:sz w:val="28"/>
          <w:szCs w:val="28"/>
        </w:rPr>
        <w:t xml:space="preserve">тыс. рублей и на конец отчетного периода составила </w:t>
      </w:r>
      <w:r w:rsidR="002F4164">
        <w:rPr>
          <w:rFonts w:ascii="Times New Roman" w:hAnsi="Times New Roman" w:cs="Times New Roman"/>
          <w:sz w:val="28"/>
          <w:szCs w:val="28"/>
        </w:rPr>
        <w:t>405420,9</w:t>
      </w:r>
      <w:r w:rsidRPr="000408FF">
        <w:rPr>
          <w:rFonts w:ascii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2F4164">
        <w:rPr>
          <w:rFonts w:ascii="Times New Roman" w:hAnsi="Times New Roman" w:cs="Times New Roman"/>
          <w:sz w:val="28"/>
          <w:szCs w:val="28"/>
        </w:rPr>
        <w:t>3234,6</w:t>
      </w:r>
      <w:r w:rsidRPr="000408FF">
        <w:rPr>
          <w:rFonts w:ascii="Times New Roman" w:hAnsi="Times New Roman" w:cs="Times New Roman"/>
          <w:sz w:val="28"/>
          <w:szCs w:val="28"/>
        </w:rPr>
        <w:t xml:space="preserve"> тыс. рублей, долгосрочная – </w:t>
      </w:r>
      <w:r w:rsidR="002F4164">
        <w:rPr>
          <w:rFonts w:ascii="Times New Roman" w:hAnsi="Times New Roman" w:cs="Times New Roman"/>
          <w:sz w:val="28"/>
          <w:szCs w:val="28"/>
        </w:rPr>
        <w:t>6348,9</w:t>
      </w:r>
      <w:r w:rsidRPr="000408FF">
        <w:rPr>
          <w:rFonts w:ascii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5F64AD" w:rsidRPr="000408FF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6F5F7E">
        <w:rPr>
          <w:rFonts w:ascii="Times New Roman" w:hAnsi="Times New Roman" w:cs="Times New Roman"/>
          <w:spacing w:val="-6"/>
          <w:sz w:val="28"/>
          <w:szCs w:val="28"/>
        </w:rPr>
        <w:t>3519,9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408F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5F64AD" w:rsidRPr="000408FF" w:rsidRDefault="005F64AD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D696E"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408FF">
        <w:rPr>
          <w:rFonts w:ascii="Times New Roman" w:hAnsi="Times New Roman" w:cs="Times New Roman"/>
          <w:sz w:val="28"/>
          <w:szCs w:val="28"/>
        </w:rPr>
        <w:t>тыс. рублей.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1 205 23</w:t>
      </w:r>
      <w:r w:rsidR="00F81F1A" w:rsidRPr="000408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81F1A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платежей при пользовании природными ресурсами»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 w:rsidR="006F5F7E">
        <w:rPr>
          <w:rFonts w:ascii="Times New Roman" w:hAnsi="Times New Roman" w:cs="Times New Roman"/>
          <w:sz w:val="28"/>
          <w:szCs w:val="28"/>
        </w:rPr>
        <w:t>6348,9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 xml:space="preserve">1 205 45 </w:t>
      </w:r>
      <w:r w:rsidR="00762924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</w:t>
      </w:r>
      <w:r w:rsidRPr="000408FF">
        <w:rPr>
          <w:rFonts w:ascii="Times New Roman" w:hAnsi="Times New Roman" w:cs="Times New Roman"/>
          <w:sz w:val="28"/>
          <w:szCs w:val="28"/>
        </w:rPr>
        <w:t xml:space="preserve">– </w:t>
      </w:r>
      <w:r w:rsidR="003D696E">
        <w:rPr>
          <w:rFonts w:ascii="Times New Roman" w:hAnsi="Times New Roman" w:cs="Times New Roman"/>
          <w:sz w:val="28"/>
          <w:szCs w:val="28"/>
        </w:rPr>
        <w:t>25,</w:t>
      </w:r>
      <w:r w:rsidR="006F5F7E">
        <w:rPr>
          <w:rFonts w:ascii="Times New Roman" w:hAnsi="Times New Roman" w:cs="Times New Roman"/>
          <w:sz w:val="28"/>
          <w:szCs w:val="28"/>
        </w:rPr>
        <w:t>9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1 205 51</w:t>
      </w:r>
      <w:r w:rsidR="000408FF" w:rsidRPr="000408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8FF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Расчеты по поступлениям от других бюджетов бюджетной системы Российской Федерации. 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 w:rsidR="006F5F7E">
        <w:rPr>
          <w:rFonts w:ascii="Times New Roman" w:hAnsi="Times New Roman" w:cs="Times New Roman"/>
          <w:sz w:val="28"/>
          <w:szCs w:val="28"/>
        </w:rPr>
        <w:t>72589,7</w:t>
      </w:r>
      <w:r w:rsidR="00591B8F">
        <w:rPr>
          <w:rFonts w:ascii="Times New Roman" w:hAnsi="Times New Roman" w:cs="Times New Roman"/>
          <w:sz w:val="28"/>
          <w:szCs w:val="28"/>
        </w:rPr>
        <w:t xml:space="preserve"> </w:t>
      </w:r>
      <w:r w:rsidRPr="000408FF">
        <w:rPr>
          <w:rFonts w:ascii="Times New Roman" w:hAnsi="Times New Roman" w:cs="Times New Roman"/>
          <w:sz w:val="28"/>
          <w:szCs w:val="28"/>
        </w:rPr>
        <w:t>тыс. рублей</w:t>
      </w:r>
      <w:r w:rsidR="00E11F26">
        <w:rPr>
          <w:rFonts w:ascii="Times New Roman" w:hAnsi="Times New Roman" w:cs="Times New Roman"/>
          <w:sz w:val="28"/>
          <w:szCs w:val="28"/>
        </w:rPr>
        <w:t>.</w:t>
      </w:r>
    </w:p>
    <w:p w:rsidR="004D272E" w:rsidRPr="00A421E3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>Кредиторская задолженность на 01.01.20</w:t>
      </w:r>
      <w:r w:rsidR="00E11F26">
        <w:rPr>
          <w:rFonts w:ascii="Times New Roman" w:hAnsi="Times New Roman" w:cs="Times New Roman"/>
          <w:sz w:val="28"/>
          <w:szCs w:val="28"/>
        </w:rPr>
        <w:t>2</w:t>
      </w:r>
      <w:r w:rsidR="0057593A">
        <w:rPr>
          <w:rFonts w:ascii="Times New Roman" w:hAnsi="Times New Roman" w:cs="Times New Roman"/>
          <w:sz w:val="28"/>
          <w:szCs w:val="28"/>
        </w:rPr>
        <w:t>2</w:t>
      </w:r>
      <w:r w:rsidRPr="00A421E3">
        <w:rPr>
          <w:rFonts w:ascii="Times New Roman" w:hAnsi="Times New Roman" w:cs="Times New Roman"/>
          <w:sz w:val="28"/>
          <w:szCs w:val="28"/>
        </w:rPr>
        <w:t xml:space="preserve"> года сложилась по счету 1</w:t>
      </w:r>
      <w:r w:rsidR="004D272E" w:rsidRPr="00A421E3">
        <w:rPr>
          <w:rFonts w:ascii="Times New Roman" w:hAnsi="Times New Roman" w:cs="Times New Roman"/>
          <w:sz w:val="28"/>
          <w:szCs w:val="28"/>
        </w:rPr>
        <w:t> </w:t>
      </w:r>
      <w:r w:rsidRPr="00A421E3">
        <w:rPr>
          <w:rFonts w:ascii="Times New Roman" w:hAnsi="Times New Roman" w:cs="Times New Roman"/>
          <w:sz w:val="28"/>
          <w:szCs w:val="28"/>
        </w:rPr>
        <w:t>205 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00 в сумме </w:t>
      </w:r>
      <w:r w:rsidR="0057593A">
        <w:rPr>
          <w:rFonts w:ascii="Times New Roman" w:hAnsi="Times New Roman" w:cs="Times New Roman"/>
          <w:sz w:val="28"/>
          <w:szCs w:val="28"/>
        </w:rPr>
        <w:t>5290,0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тыс. рублей. В течени</w:t>
      </w:r>
      <w:r w:rsidR="00A421E3">
        <w:rPr>
          <w:rFonts w:ascii="Times New Roman" w:hAnsi="Times New Roman" w:cs="Times New Roman"/>
          <w:sz w:val="28"/>
          <w:szCs w:val="28"/>
        </w:rPr>
        <w:t>е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года она   </w:t>
      </w:r>
      <w:r w:rsidR="0057593A">
        <w:rPr>
          <w:rFonts w:ascii="Times New Roman" w:hAnsi="Times New Roman" w:cs="Times New Roman"/>
          <w:sz w:val="28"/>
          <w:szCs w:val="28"/>
        </w:rPr>
        <w:t>увеличилась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на </w:t>
      </w:r>
      <w:r w:rsidR="0057593A">
        <w:rPr>
          <w:rFonts w:ascii="Times New Roman" w:hAnsi="Times New Roman" w:cs="Times New Roman"/>
          <w:sz w:val="28"/>
          <w:szCs w:val="28"/>
        </w:rPr>
        <w:t>1158,5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тыс. рублей и составила на конец года </w:t>
      </w:r>
      <w:r w:rsidR="00E11F26">
        <w:rPr>
          <w:rFonts w:ascii="Times New Roman" w:hAnsi="Times New Roman" w:cs="Times New Roman"/>
          <w:sz w:val="28"/>
          <w:szCs w:val="28"/>
        </w:rPr>
        <w:t>–</w:t>
      </w:r>
      <w:r w:rsidR="00A421E3">
        <w:rPr>
          <w:rFonts w:ascii="Times New Roman" w:hAnsi="Times New Roman" w:cs="Times New Roman"/>
          <w:sz w:val="28"/>
          <w:szCs w:val="28"/>
        </w:rPr>
        <w:t xml:space="preserve"> </w:t>
      </w:r>
      <w:r w:rsidR="0057593A">
        <w:rPr>
          <w:rFonts w:ascii="Times New Roman" w:hAnsi="Times New Roman" w:cs="Times New Roman"/>
          <w:sz w:val="28"/>
          <w:szCs w:val="28"/>
        </w:rPr>
        <w:t>6448,5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D272E" w:rsidRPr="00A421E3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- 1 201 11 </w:t>
      </w:r>
      <w:r w:rsidR="005F64AD" w:rsidRPr="00A421E3">
        <w:rPr>
          <w:rFonts w:ascii="Times New Roman" w:hAnsi="Times New Roman" w:cs="Times New Roman"/>
          <w:sz w:val="28"/>
          <w:szCs w:val="28"/>
        </w:rPr>
        <w:t xml:space="preserve">«Расчеты с плательщиками налоговых доходов» </w:t>
      </w:r>
      <w:r w:rsidRPr="00A421E3">
        <w:rPr>
          <w:rFonts w:ascii="Times New Roman" w:hAnsi="Times New Roman" w:cs="Times New Roman"/>
          <w:sz w:val="28"/>
          <w:szCs w:val="28"/>
        </w:rPr>
        <w:t xml:space="preserve">- </w:t>
      </w:r>
      <w:r w:rsidR="00AD1458">
        <w:rPr>
          <w:rFonts w:ascii="Times New Roman" w:hAnsi="Times New Roman" w:cs="Times New Roman"/>
          <w:sz w:val="28"/>
          <w:szCs w:val="28"/>
        </w:rPr>
        <w:t>5289,3</w:t>
      </w:r>
      <w:r w:rsidRPr="00A421E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D272E" w:rsidRPr="00A421E3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- 1 205 45  </w:t>
      </w:r>
      <w:r w:rsidRPr="00A42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изъятия».</w:t>
      </w:r>
      <w:r w:rsidRPr="00A421E3">
        <w:rPr>
          <w:rFonts w:ascii="Times New Roman" w:hAnsi="Times New Roman" w:cs="Times New Roman"/>
          <w:sz w:val="28"/>
          <w:szCs w:val="28"/>
        </w:rPr>
        <w:t xml:space="preserve"> - 0,</w:t>
      </w:r>
      <w:r w:rsidR="00AD1458">
        <w:rPr>
          <w:rFonts w:ascii="Times New Roman" w:hAnsi="Times New Roman" w:cs="Times New Roman"/>
          <w:sz w:val="28"/>
          <w:szCs w:val="28"/>
        </w:rPr>
        <w:t>8</w:t>
      </w:r>
      <w:r w:rsidRPr="00A421E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1CB0" w:rsidRDefault="005F64AD" w:rsidP="00DE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отсутствует.</w:t>
      </w:r>
      <w:r w:rsidR="00DE1CB0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расходам поселения </w:t>
      </w:r>
      <w:proofErr w:type="spellStart"/>
      <w:r w:rsidR="00B264E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B264EB">
        <w:rPr>
          <w:rFonts w:ascii="Times New Roman" w:hAnsi="Times New Roman" w:cs="Times New Roman"/>
          <w:sz w:val="28"/>
          <w:szCs w:val="28"/>
        </w:rPr>
        <w:t xml:space="preserve">. 302 00 - </w:t>
      </w:r>
      <w:r w:rsidR="00DE1CB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E1CB0" w:rsidRDefault="00DE1CB0" w:rsidP="00DE1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762C03" w:rsidRPr="00762C03" w:rsidRDefault="005F64AD" w:rsidP="00DE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0">
        <w:rPr>
          <w:rFonts w:ascii="Times New Roman" w:hAnsi="Times New Roman" w:cs="Times New Roman"/>
          <w:sz w:val="28"/>
          <w:szCs w:val="28"/>
        </w:rPr>
        <w:t>Согласно отчету о бюджетных обязательствах (ф. 0503128)</w:t>
      </w:r>
      <w:r w:rsidRPr="006573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73B0">
        <w:rPr>
          <w:rFonts w:ascii="Times New Roman" w:hAnsi="Times New Roman" w:cs="Times New Roman"/>
          <w:sz w:val="28"/>
          <w:szCs w:val="28"/>
        </w:rPr>
        <w:t>бюджетные обязательства приняты в</w:t>
      </w:r>
      <w:r w:rsidR="00B108C1">
        <w:rPr>
          <w:rFonts w:ascii="Times New Roman" w:hAnsi="Times New Roman" w:cs="Times New Roman"/>
          <w:sz w:val="28"/>
          <w:szCs w:val="28"/>
        </w:rPr>
        <w:t xml:space="preserve"> сумме 376981,1</w:t>
      </w:r>
      <w:r w:rsidR="00B74A3A">
        <w:rPr>
          <w:rFonts w:ascii="Times New Roman" w:hAnsi="Times New Roman" w:cs="Times New Roman"/>
          <w:sz w:val="28"/>
          <w:szCs w:val="28"/>
        </w:rPr>
        <w:t xml:space="preserve"> </w:t>
      </w:r>
      <w:r w:rsidRPr="006573B0">
        <w:rPr>
          <w:rFonts w:ascii="Times New Roman" w:hAnsi="Times New Roman" w:cs="Times New Roman"/>
          <w:sz w:val="28"/>
          <w:szCs w:val="28"/>
        </w:rPr>
        <w:t>тыс. рублей</w:t>
      </w:r>
      <w:r w:rsidR="00B74A3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B108C1">
        <w:rPr>
          <w:rFonts w:ascii="Times New Roman" w:hAnsi="Times New Roman" w:cs="Times New Roman"/>
          <w:sz w:val="28"/>
          <w:szCs w:val="28"/>
        </w:rPr>
        <w:t>380538,5</w:t>
      </w:r>
      <w:r w:rsidR="00B74A3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108C1">
        <w:rPr>
          <w:rFonts w:ascii="Times New Roman" w:hAnsi="Times New Roman" w:cs="Times New Roman"/>
          <w:sz w:val="28"/>
          <w:szCs w:val="28"/>
        </w:rPr>
        <w:t>, в том числе с применением конкурентных способов 344015,0 тыс. рублей</w:t>
      </w:r>
      <w:r w:rsidRPr="006573B0">
        <w:rPr>
          <w:rFonts w:ascii="Times New Roman" w:hAnsi="Times New Roman" w:cs="Times New Roman"/>
          <w:sz w:val="28"/>
          <w:szCs w:val="28"/>
        </w:rPr>
        <w:t xml:space="preserve">. Исполнение денежных обязательств за текущий период составило </w:t>
      </w:r>
      <w:r w:rsidR="00B108C1">
        <w:rPr>
          <w:rFonts w:ascii="Times New Roman" w:hAnsi="Times New Roman" w:cs="Times New Roman"/>
          <w:sz w:val="28"/>
          <w:szCs w:val="28"/>
        </w:rPr>
        <w:t>373775,0</w:t>
      </w:r>
      <w:r w:rsidRPr="006573B0">
        <w:rPr>
          <w:rFonts w:ascii="Times New Roman" w:hAnsi="Times New Roman" w:cs="Times New Roman"/>
          <w:sz w:val="28"/>
          <w:szCs w:val="28"/>
        </w:rPr>
        <w:t> </w:t>
      </w:r>
      <w:r w:rsidRPr="00762C03">
        <w:rPr>
          <w:rFonts w:ascii="Times New Roman" w:hAnsi="Times New Roman" w:cs="Times New Roman"/>
          <w:sz w:val="28"/>
          <w:szCs w:val="28"/>
        </w:rPr>
        <w:t xml:space="preserve">тыс. рублей, или </w:t>
      </w:r>
      <w:r w:rsidR="00B108C1" w:rsidRPr="00762C03">
        <w:rPr>
          <w:rFonts w:ascii="Times New Roman" w:hAnsi="Times New Roman" w:cs="Times New Roman"/>
          <w:sz w:val="28"/>
          <w:szCs w:val="28"/>
        </w:rPr>
        <w:t>100,0</w:t>
      </w:r>
      <w:r w:rsidRPr="00762C03">
        <w:rPr>
          <w:rFonts w:ascii="Times New Roman" w:hAnsi="Times New Roman" w:cs="Times New Roman"/>
          <w:sz w:val="28"/>
          <w:szCs w:val="28"/>
        </w:rPr>
        <w:t> % принятых денежных обязательств</w:t>
      </w:r>
      <w:r w:rsidR="00B108C1" w:rsidRPr="00762C03">
        <w:rPr>
          <w:rFonts w:ascii="Times New Roman" w:hAnsi="Times New Roman" w:cs="Times New Roman"/>
          <w:sz w:val="28"/>
          <w:szCs w:val="28"/>
        </w:rPr>
        <w:t xml:space="preserve"> (344775,0 тыс. рублей)</w:t>
      </w:r>
      <w:r w:rsidRPr="00762C03">
        <w:rPr>
          <w:rFonts w:ascii="Times New Roman" w:hAnsi="Times New Roman" w:cs="Times New Roman"/>
          <w:sz w:val="28"/>
          <w:szCs w:val="28"/>
        </w:rPr>
        <w:t>.</w:t>
      </w:r>
      <w:r w:rsidR="00B74A3A" w:rsidRPr="00762C03">
        <w:rPr>
          <w:rFonts w:ascii="Times New Roman" w:hAnsi="Times New Roman" w:cs="Times New Roman"/>
          <w:sz w:val="28"/>
          <w:szCs w:val="28"/>
        </w:rPr>
        <w:t xml:space="preserve"> </w:t>
      </w:r>
      <w:r w:rsidR="002A09C3" w:rsidRPr="00762C03">
        <w:rPr>
          <w:rFonts w:ascii="Times New Roman" w:hAnsi="Times New Roman" w:cs="Times New Roman"/>
          <w:sz w:val="28"/>
          <w:szCs w:val="28"/>
        </w:rPr>
        <w:t>Не</w:t>
      </w:r>
      <w:r w:rsidR="00B108C1" w:rsidRPr="00762C03">
        <w:rPr>
          <w:rFonts w:ascii="Times New Roman" w:hAnsi="Times New Roman" w:cs="Times New Roman"/>
          <w:sz w:val="28"/>
          <w:szCs w:val="28"/>
        </w:rPr>
        <w:t xml:space="preserve"> 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B108C1" w:rsidRPr="00762C03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B108C1" w:rsidRPr="00762C03">
        <w:rPr>
          <w:rFonts w:ascii="Times New Roman" w:hAnsi="Times New Roman" w:cs="Times New Roman"/>
          <w:sz w:val="28"/>
          <w:szCs w:val="28"/>
        </w:rPr>
        <w:t>в сумме  3206,0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2C03" w:rsidRPr="00762C03">
        <w:rPr>
          <w:rFonts w:ascii="Times New Roman" w:hAnsi="Times New Roman" w:cs="Times New Roman"/>
          <w:sz w:val="28"/>
          <w:szCs w:val="28"/>
        </w:rPr>
        <w:t xml:space="preserve"> 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по разделу «Национальная </w:t>
      </w:r>
      <w:r w:rsidR="00D81DE6" w:rsidRPr="00762C03">
        <w:rPr>
          <w:rFonts w:ascii="Times New Roman" w:hAnsi="Times New Roman" w:cs="Times New Roman"/>
          <w:sz w:val="28"/>
          <w:szCs w:val="28"/>
        </w:rPr>
        <w:t>э</w:t>
      </w:r>
      <w:r w:rsidR="00E95A1A" w:rsidRPr="00762C03">
        <w:rPr>
          <w:rFonts w:ascii="Times New Roman" w:hAnsi="Times New Roman" w:cs="Times New Roman"/>
          <w:sz w:val="28"/>
          <w:szCs w:val="28"/>
        </w:rPr>
        <w:t>к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ономика» </w:t>
      </w:r>
      <w:r w:rsidR="00762C03" w:rsidRPr="00762C03">
        <w:rPr>
          <w:rFonts w:ascii="Times New Roman" w:hAnsi="Times New Roman" w:cs="Times New Roman"/>
          <w:sz w:val="28"/>
          <w:szCs w:val="28"/>
        </w:rPr>
        <w:t xml:space="preserve"> - 1548,4 тыс. рублей, и по разделу 05 «Жилищно-коммунальное хозяйство» -  1657,6 тыс. рублей.</w:t>
      </w:r>
    </w:p>
    <w:p w:rsidR="00B74A3A" w:rsidRPr="006573B0" w:rsidRDefault="00B74A3A" w:rsidP="00BC5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3">
        <w:rPr>
          <w:rFonts w:ascii="Times New Roman" w:hAnsi="Times New Roman" w:cs="Times New Roman"/>
          <w:sz w:val="28"/>
          <w:szCs w:val="28"/>
        </w:rPr>
        <w:t>Сог</w:t>
      </w:r>
      <w:r w:rsidR="00B000BD" w:rsidRPr="00762C03">
        <w:rPr>
          <w:rFonts w:ascii="Times New Roman" w:hAnsi="Times New Roman" w:cs="Times New Roman"/>
          <w:sz w:val="28"/>
          <w:szCs w:val="28"/>
        </w:rPr>
        <w:t>ла</w:t>
      </w:r>
      <w:r w:rsidRPr="00762C03">
        <w:rPr>
          <w:rFonts w:ascii="Times New Roman" w:hAnsi="Times New Roman" w:cs="Times New Roman"/>
          <w:sz w:val="28"/>
          <w:szCs w:val="28"/>
        </w:rPr>
        <w:t xml:space="preserve">сно </w:t>
      </w:r>
      <w:r w:rsidR="00B000BD" w:rsidRPr="00762C03">
        <w:rPr>
          <w:rFonts w:ascii="Times New Roman" w:hAnsi="Times New Roman" w:cs="Times New Roman"/>
          <w:sz w:val="28"/>
          <w:szCs w:val="28"/>
        </w:rPr>
        <w:t xml:space="preserve">данным раздела 4 </w:t>
      </w:r>
      <w:r w:rsidRPr="00762C03">
        <w:rPr>
          <w:rFonts w:ascii="Times New Roman" w:hAnsi="Times New Roman" w:cs="Times New Roman"/>
          <w:sz w:val="28"/>
          <w:szCs w:val="28"/>
        </w:rPr>
        <w:t xml:space="preserve">ф. 0503175 </w:t>
      </w:r>
      <w:r w:rsidR="00B000BD" w:rsidRPr="00762C03">
        <w:rPr>
          <w:rFonts w:ascii="Times New Roman" w:hAnsi="Times New Roman" w:cs="Times New Roman"/>
          <w:sz w:val="28"/>
          <w:szCs w:val="28"/>
        </w:rPr>
        <w:t xml:space="preserve">«Сведения о принятых и неисполненных обязательствах получателя бюджетных средств» </w:t>
      </w:r>
      <w:r w:rsidRPr="00762C03">
        <w:rPr>
          <w:rFonts w:ascii="Times New Roman" w:hAnsi="Times New Roman" w:cs="Times New Roman"/>
          <w:sz w:val="28"/>
          <w:szCs w:val="28"/>
        </w:rPr>
        <w:t>экономия в результате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конкурентных способов </w:t>
      </w:r>
      <w:r w:rsidR="002A09C3">
        <w:rPr>
          <w:rFonts w:ascii="Times New Roman" w:hAnsi="Times New Roman" w:cs="Times New Roman"/>
          <w:sz w:val="28"/>
          <w:szCs w:val="28"/>
        </w:rPr>
        <w:t xml:space="preserve">за отчетный год составила  </w:t>
      </w:r>
      <w:r w:rsidR="00B108C1">
        <w:rPr>
          <w:rFonts w:ascii="Times New Roman" w:hAnsi="Times New Roman" w:cs="Times New Roman"/>
          <w:sz w:val="28"/>
          <w:szCs w:val="28"/>
        </w:rPr>
        <w:t>1882,4 ты</w:t>
      </w:r>
      <w:r>
        <w:rPr>
          <w:rFonts w:ascii="Times New Roman" w:hAnsi="Times New Roman" w:cs="Times New Roman"/>
          <w:sz w:val="28"/>
          <w:szCs w:val="28"/>
        </w:rPr>
        <w:t>с. рублей.</w:t>
      </w:r>
    </w:p>
    <w:p w:rsidR="00D4149D" w:rsidRPr="00D4149D" w:rsidRDefault="00D4149D" w:rsidP="00D414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</w:t>
      </w:r>
      <w:r w:rsidRPr="00D4149D">
        <w:rPr>
          <w:rFonts w:ascii="Times New Roman" w:hAnsi="Times New Roman" w:cs="Times New Roman"/>
          <w:b/>
          <w:color w:val="000000"/>
          <w:sz w:val="28"/>
          <w:szCs w:val="28"/>
        </w:rPr>
        <w:t>7.7. Провести анализ движения нефинансовых активов.</w:t>
      </w:r>
    </w:p>
    <w:p w:rsidR="00656A71" w:rsidRPr="00656A71" w:rsidRDefault="00D4149D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 данным формы 0503168 «Сведения о движении нефинансовых активов» нефинансовые активы поселения включают в себя стоимость основных средств и материальных запасов, в том числе:</w:t>
      </w:r>
    </w:p>
    <w:p w:rsidR="00656A71" w:rsidRPr="00656A71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Остаток основных средств на начало</w:t>
      </w:r>
      <w:r w:rsidR="007E18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 конец отчетного периода составил – 0 тыс. рублей. </w:t>
      </w:r>
    </w:p>
    <w:p w:rsidR="009A18DA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 xml:space="preserve"> и конец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отсутствует. </w:t>
      </w:r>
      <w:r w:rsidR="009A18DA">
        <w:rPr>
          <w:rFonts w:ascii="Times New Roman" w:eastAsia="Times New Roman" w:hAnsi="Times New Roman" w:cs="Times New Roman"/>
          <w:sz w:val="28"/>
          <w:szCs w:val="28"/>
        </w:rPr>
        <w:t xml:space="preserve">Оборот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запасов за отчетный период </w:t>
      </w:r>
      <w:r w:rsidR="009A18DA">
        <w:rPr>
          <w:rFonts w:ascii="Times New Roman" w:eastAsia="Times New Roman" w:hAnsi="Times New Roman" w:cs="Times New Roman"/>
          <w:sz w:val="28"/>
          <w:szCs w:val="28"/>
        </w:rPr>
        <w:t>3,9 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рублей</w:t>
      </w:r>
      <w:r w:rsidR="009A1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8F4" w:rsidRDefault="00656A71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На 01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01.20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капитальные вложения в основные средства 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07966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="00707966">
        <w:rPr>
          <w:rFonts w:ascii="Times New Roman" w:eastAsia="Times New Roman" w:hAnsi="Times New Roman" w:cs="Times New Roman"/>
          <w:sz w:val="28"/>
          <w:szCs w:val="28"/>
        </w:rPr>
        <w:t xml:space="preserve">. 106 00)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>течение года сумма вложений составила 298289,4 тыс. рублей. Таким образом, на конец года  составила 298289,4 тыс. рублей.</w:t>
      </w:r>
    </w:p>
    <w:p w:rsidR="00A55225" w:rsidRDefault="00A55225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25">
        <w:rPr>
          <w:rFonts w:ascii="Times New Roman" w:eastAsia="Times New Roman" w:hAnsi="Times New Roman" w:cs="Times New Roman"/>
          <w:sz w:val="28"/>
          <w:szCs w:val="28"/>
        </w:rPr>
        <w:t>Остаток нефинансовы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55225">
        <w:rPr>
          <w:rFonts w:ascii="Times New Roman" w:eastAsia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55225">
        <w:rPr>
          <w:rFonts w:ascii="Times New Roman" w:eastAsia="Times New Roman" w:hAnsi="Times New Roman" w:cs="Times New Roman"/>
          <w:sz w:val="28"/>
          <w:szCs w:val="28"/>
        </w:rPr>
        <w:t>, составляющи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55225">
        <w:rPr>
          <w:rFonts w:ascii="Times New Roman" w:eastAsia="Times New Roman" w:hAnsi="Times New Roman" w:cs="Times New Roman"/>
          <w:sz w:val="28"/>
          <w:szCs w:val="28"/>
        </w:rPr>
        <w:t xml:space="preserve"> имущество казны </w:t>
      </w:r>
      <w:r>
        <w:rPr>
          <w:rFonts w:ascii="Times New Roman" w:eastAsia="Times New Roman" w:hAnsi="Times New Roman" w:cs="Times New Roman"/>
          <w:sz w:val="28"/>
          <w:szCs w:val="28"/>
        </w:rPr>
        <w:t>на начало и кон</w:t>
      </w:r>
      <w:r w:rsidRPr="00A55225">
        <w:rPr>
          <w:rFonts w:ascii="Times New Roman" w:eastAsia="Times New Roman" w:hAnsi="Times New Roman" w:cs="Times New Roman"/>
          <w:sz w:val="28"/>
          <w:szCs w:val="28"/>
        </w:rPr>
        <w:t xml:space="preserve">ец года  – 0,0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Обороты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 xml:space="preserve">отчетного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нефинансовы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</w:rPr>
        <w:t>ам,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 xml:space="preserve"> составляющи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 xml:space="preserve"> имущество казны (продажа земли)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226,7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49D" w:rsidRDefault="00656A71" w:rsidP="00D36F63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6F63" w:rsidRPr="0051321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4149D" w:rsidRPr="00513212">
        <w:rPr>
          <w:rFonts w:ascii="Times New Roman" w:hAnsi="Times New Roman" w:cs="Times New Roman"/>
          <w:b/>
          <w:color w:val="000000"/>
          <w:sz w:val="28"/>
          <w:szCs w:val="28"/>
        </w:rPr>
        <w:t>.1.8. Провести анализ программной части бюджета.</w:t>
      </w:r>
    </w:p>
    <w:p w:rsidR="00A154C0" w:rsidRDefault="00A154C0" w:rsidP="00A1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3913">
        <w:rPr>
          <w:rFonts w:ascii="Times New Roman" w:eastAsia="Times New Roman" w:hAnsi="Times New Roman" w:cs="Times New Roman"/>
          <w:sz w:val="28"/>
          <w:szCs w:val="28"/>
        </w:rPr>
        <w:t xml:space="preserve">бщий объем бюджетных ассигнований на реализацию 4-х муниципальных программ утвержден в сумме </w:t>
      </w:r>
      <w:r w:rsidR="00CC17C6">
        <w:rPr>
          <w:rFonts w:ascii="Times New Roman" w:eastAsia="Times New Roman" w:hAnsi="Times New Roman" w:cs="Times New Roman"/>
          <w:sz w:val="28"/>
          <w:szCs w:val="28"/>
        </w:rPr>
        <w:t>380308,0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913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99,9% в </w:t>
      </w:r>
      <w:r w:rsidR="00CC17C6">
        <w:rPr>
          <w:rFonts w:ascii="Times New Roman" w:eastAsia="Times New Roman" w:hAnsi="Times New Roman" w:cs="Times New Roman"/>
          <w:sz w:val="28"/>
          <w:szCs w:val="28"/>
        </w:rPr>
        <w:t xml:space="preserve">общем объеме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CC17C6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CC17C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651"/>
        <w:gridCol w:w="1261"/>
        <w:gridCol w:w="1485"/>
        <w:gridCol w:w="1106"/>
      </w:tblGrid>
      <w:tr w:rsidR="00652AAA" w:rsidRPr="00656A71" w:rsidTr="00030323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43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90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2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43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20</w:t>
            </w:r>
            <w:r w:rsidR="0090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2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652AAA" w:rsidRPr="00656A71" w:rsidTr="00030323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администрации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4A5B72" w:rsidP="002C57E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366891,7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7F5760" w:rsidP="002C57E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360128,3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7F5760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652AAA" w:rsidRPr="00656A71" w:rsidTr="00030323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4A5B72" w:rsidP="002C57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7482,4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7F5760" w:rsidP="00082B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7842,4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30323" w:rsidRPr="00656A71" w:rsidTr="00030323">
        <w:trPr>
          <w:trHeight w:val="105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656A71" w:rsidRDefault="00030323" w:rsidP="0003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656A71" w:rsidRDefault="00030323" w:rsidP="00C2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Суражского городского поселения Суражского муниципального района 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</w:t>
            </w:r>
            <w:r w:rsidR="00C22C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22C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D86AE1" w:rsidRDefault="00030323" w:rsidP="00D01AE1">
            <w:pPr>
              <w:tabs>
                <w:tab w:val="left" w:pos="225"/>
                <w:tab w:val="center" w:pos="522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ab/>
              <w:t>4480,0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D86AE1" w:rsidRDefault="00CC17C6" w:rsidP="00CC17C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4480,0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98070F" w:rsidRDefault="00030323" w:rsidP="00D0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30323" w:rsidRPr="00656A71" w:rsidTr="00030323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656A71" w:rsidRDefault="00030323" w:rsidP="0077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70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656A71" w:rsidRDefault="00030323" w:rsidP="0020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Суражского городского поселения Брянской области на 201</w:t>
            </w:r>
            <w:r w:rsidR="00203E5C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D86AE1" w:rsidRDefault="007770D5" w:rsidP="00D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5569,4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082BD2" w:rsidRDefault="00CC17C6" w:rsidP="00C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98070F" w:rsidRDefault="00030323" w:rsidP="00D0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52AAA" w:rsidRPr="00656A71" w:rsidTr="00030323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E4023C" w:rsidRDefault="007770D5" w:rsidP="00432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380308,0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E4023C" w:rsidRDefault="00A96447" w:rsidP="002C5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378020,1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8B6C4B" w:rsidP="00A964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A96447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</w:tr>
    </w:tbl>
    <w:p w:rsidR="00A154C0" w:rsidRDefault="00C22C58" w:rsidP="00A154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на </w:t>
      </w:r>
      <w:r w:rsidR="00A154C0" w:rsidRPr="00513212">
        <w:rPr>
          <w:rFonts w:ascii="Times New Roman" w:eastAsia="Times New Roman" w:hAnsi="Times New Roman" w:cs="Times New Roman"/>
          <w:sz w:val="28"/>
          <w:szCs w:val="28"/>
        </w:rPr>
        <w:t xml:space="preserve">реализацию 4-х муниципальных программ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378020,1</w:t>
      </w:r>
      <w:r w:rsidR="00A154C0" w:rsidRPr="005132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9</w:t>
      </w:r>
      <w:r>
        <w:rPr>
          <w:rFonts w:ascii="Times New Roman" w:eastAsia="Times New Roman" w:hAnsi="Times New Roman" w:cs="Times New Roman"/>
          <w:sz w:val="28"/>
          <w:szCs w:val="28"/>
        </w:rPr>
        <w:t>9,9</w:t>
      </w:r>
      <w:r w:rsidR="00A154C0" w:rsidRPr="00513212">
        <w:rPr>
          <w:rFonts w:ascii="Times New Roman" w:eastAsia="Times New Roman" w:hAnsi="Times New Roman" w:cs="Times New Roman"/>
          <w:sz w:val="28"/>
          <w:szCs w:val="28"/>
        </w:rPr>
        <w:t>% от утвержденного объема.</w:t>
      </w:r>
    </w:p>
    <w:p w:rsidR="008368C3" w:rsidRDefault="008368C3" w:rsidP="00836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8C3">
        <w:rPr>
          <w:rFonts w:ascii="Times New Roman" w:eastAsia="Times New Roman" w:hAnsi="Times New Roman" w:cs="Times New Roman"/>
          <w:sz w:val="28"/>
          <w:szCs w:val="28"/>
        </w:rPr>
        <w:t>Недоосвоение</w:t>
      </w:r>
      <w:proofErr w:type="spellEnd"/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22C58">
        <w:rPr>
          <w:rFonts w:ascii="Times New Roman" w:eastAsia="Times New Roman" w:hAnsi="Times New Roman" w:cs="Times New Roman"/>
          <w:sz w:val="28"/>
          <w:szCs w:val="28"/>
        </w:rPr>
        <w:t>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сложилось по программе Реализация полномочий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>Брянской области (201</w:t>
      </w:r>
      <w:r w:rsidR="000069F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>-2024гг.)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52" w:rsidRDefault="00611B52" w:rsidP="00B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п.5.4, п. 5.5 Порядка разработки, реализации и оценки эффективности муниципальных программ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экономического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и организации предоставления муниципальных услуг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разработал и представил сводный годовой отчет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программ, так же данный отчет размещен на официальном сети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FA406B" w:rsidRPr="00656A71" w:rsidRDefault="00FA406B" w:rsidP="00FA4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было проанализировано на основании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отчета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размещенных на сайте Администрации Суражского района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09D" w:rsidRPr="00E25774" w:rsidRDefault="0062509D" w:rsidP="0062509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>Непрограммная часть расходов бюджета</w:t>
      </w:r>
      <w:r w:rsidR="008368C3">
        <w:rPr>
          <w:rFonts w:ascii="Times New Roman" w:eastAsia="Times New Roman" w:hAnsi="Times New Roman" w:cs="Times New Roman"/>
          <w:sz w:val="28"/>
          <w:szCs w:val="28"/>
        </w:rPr>
        <w:t xml:space="preserve"> утверждена в объеме </w:t>
      </w:r>
      <w:r w:rsidR="00D81272">
        <w:rPr>
          <w:rFonts w:ascii="Times New Roman" w:eastAsia="Times New Roman" w:hAnsi="Times New Roman" w:cs="Times New Roman"/>
          <w:sz w:val="28"/>
          <w:szCs w:val="28"/>
        </w:rPr>
        <w:t>230,5</w:t>
      </w:r>
      <w:r w:rsidR="008368C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B52" w:rsidRPr="00E25774">
        <w:rPr>
          <w:rFonts w:ascii="Times New Roman" w:hAnsi="Times New Roman" w:cs="Times New Roman"/>
          <w:sz w:val="28"/>
          <w:szCs w:val="28"/>
        </w:rPr>
        <w:t>исполнен</w:t>
      </w:r>
      <w:r w:rsidR="008368C3">
        <w:rPr>
          <w:rFonts w:ascii="Times New Roman" w:hAnsi="Times New Roman" w:cs="Times New Roman"/>
          <w:sz w:val="28"/>
          <w:szCs w:val="28"/>
        </w:rPr>
        <w:t>ие составило</w:t>
      </w:r>
      <w:r w:rsidR="00D81272">
        <w:rPr>
          <w:rFonts w:ascii="Times New Roman" w:hAnsi="Times New Roman" w:cs="Times New Roman"/>
          <w:sz w:val="28"/>
          <w:szCs w:val="28"/>
        </w:rPr>
        <w:t>100,0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% годовых плановых показателей.</w:t>
      </w:r>
    </w:p>
    <w:p w:rsidR="0062509D" w:rsidRPr="004276CB" w:rsidRDefault="004276CB" w:rsidP="006250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4276C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2509D" w:rsidRPr="004276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53B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2509D" w:rsidRPr="004276CB">
        <w:rPr>
          <w:rFonts w:ascii="Times New Roman" w:hAnsi="Times New Roman" w:cs="Times New Roman"/>
          <w:b/>
          <w:color w:val="000000"/>
          <w:sz w:val="28"/>
          <w:szCs w:val="28"/>
        </w:rPr>
        <w:t>. Провести анализ расходов бюджетных учреждений.</w:t>
      </w:r>
    </w:p>
    <w:p w:rsidR="00656A71" w:rsidRPr="00656A71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F07F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0069F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07FF">
        <w:rPr>
          <w:rFonts w:ascii="Times New Roman" w:eastAsia="Times New Roman" w:hAnsi="Times New Roman" w:cs="Times New Roman"/>
          <w:sz w:val="28"/>
          <w:szCs w:val="28"/>
        </w:rPr>
        <w:t xml:space="preserve"> 1 Пояснительной записки (ф. 0503160)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количество, финансируемых из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7FF" w:rsidRPr="00656A71">
        <w:rPr>
          <w:rFonts w:ascii="Times New Roman" w:eastAsia="Times New Roman" w:hAnsi="Times New Roman" w:cs="Times New Roman"/>
          <w:sz w:val="28"/>
          <w:szCs w:val="28"/>
        </w:rPr>
        <w:t>государственных (муниципальных) учреждений»</w:t>
      </w:r>
      <w:r w:rsidR="00CF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на конец отчетного периода составило 2</w:t>
      </w:r>
      <w:r w:rsidR="00857C7A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МБУ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 и МБУК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городская библиотека». </w:t>
      </w:r>
    </w:p>
    <w:p w:rsidR="00656A71" w:rsidRPr="00656A71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Согласно отчет</w:t>
      </w:r>
      <w:r w:rsidR="000069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учреждением плана его финансово-хозяйственной деятельности </w:t>
      </w:r>
      <w:hyperlink r:id="rId10" w:history="1">
        <w:r w:rsidRPr="00656A71">
          <w:rPr>
            <w:rFonts w:ascii="Times New Roman" w:eastAsia="Times New Roman" w:hAnsi="Times New Roman" w:cs="Times New Roman"/>
            <w:sz w:val="28"/>
          </w:rPr>
          <w:t>(ф. 0503737)</w:t>
        </w:r>
      </w:hyperlink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6CB">
        <w:rPr>
          <w:rFonts w:ascii="Times New Roman" w:eastAsia="Times New Roman" w:hAnsi="Times New Roman" w:cs="Times New Roman"/>
          <w:sz w:val="28"/>
          <w:szCs w:val="28"/>
        </w:rPr>
        <w:t>бюджетные учреждения получали следующие виды доходов: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 (тыс. рублей)</w:t>
      </w:r>
    </w:p>
    <w:tbl>
      <w:tblPr>
        <w:tblW w:w="100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134"/>
        <w:gridCol w:w="1418"/>
        <w:gridCol w:w="1134"/>
        <w:gridCol w:w="992"/>
      </w:tblGrid>
      <w:tr w:rsidR="00542521" w:rsidRPr="007407B6" w:rsidTr="00362FAE">
        <w:trPr>
          <w:trHeight w:val="71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учреждений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0309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доходы </w:t>
            </w:r>
            <w:r w:rsidR="00DF787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309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F787C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1654" w:rsidRPr="007407B6" w:rsidRDefault="00542521" w:rsidP="00542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  <w:p w:rsidR="00362FAE" w:rsidRDefault="00542521" w:rsidP="00E050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</w:t>
            </w:r>
          </w:p>
          <w:p w:rsidR="00542521" w:rsidRPr="007407B6" w:rsidRDefault="00542521" w:rsidP="000309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3091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30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</w:t>
            </w:r>
            <w:r w:rsidR="00611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30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0309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30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</w:t>
            </w:r>
            <w:r w:rsidR="00611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30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2363E9" w:rsidRPr="00780129" w:rsidTr="00CB5E53">
        <w:trPr>
          <w:trHeight w:val="40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3E9" w:rsidRPr="00780129" w:rsidRDefault="002363E9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выполнение государственного (муниципального) задания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E9" w:rsidRPr="00780129" w:rsidRDefault="002363E9" w:rsidP="00D01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7510,9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63E9" w:rsidRPr="00780129" w:rsidRDefault="002363E9" w:rsidP="00EF52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E9" w:rsidRPr="002363E9" w:rsidRDefault="00236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E9">
              <w:rPr>
                <w:rFonts w:ascii="Times New Roman" w:hAnsi="Times New Roman" w:cs="Times New Roman"/>
                <w:color w:val="000000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E9" w:rsidRPr="002363E9" w:rsidRDefault="00236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E9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</w:tr>
      <w:tr w:rsidR="002363E9" w:rsidRPr="00780129" w:rsidTr="00CB5E5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3E9" w:rsidRPr="00780129" w:rsidRDefault="002363E9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иные цели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E9" w:rsidRPr="00780129" w:rsidRDefault="002363E9" w:rsidP="00D01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63E9" w:rsidRPr="00780129" w:rsidRDefault="002363E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E9" w:rsidRPr="002363E9" w:rsidRDefault="00236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E9" w:rsidRPr="002363E9" w:rsidRDefault="00236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63E9" w:rsidRPr="00780129" w:rsidTr="00CB5E5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3E9" w:rsidRPr="00780129" w:rsidRDefault="002363E9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собственные доходы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E9" w:rsidRPr="00780129" w:rsidRDefault="002363E9" w:rsidP="00D01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1234,1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63E9" w:rsidRPr="00780129" w:rsidRDefault="002363E9" w:rsidP="004C16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C16FF">
              <w:rPr>
                <w:rFonts w:ascii="Times New Roman" w:eastAsia="Times New Roman" w:hAnsi="Times New Roman" w:cs="Times New Roman"/>
                <w:color w:val="000000"/>
              </w:rPr>
              <w:t>195,1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E9" w:rsidRPr="002363E9" w:rsidRDefault="003A3EAE" w:rsidP="003A3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E9" w:rsidRPr="002363E9" w:rsidRDefault="003A3EAE" w:rsidP="003A3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2363E9" w:rsidRPr="00780129" w:rsidTr="00362FA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E9" w:rsidRPr="00780129" w:rsidRDefault="002363E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E9" w:rsidRPr="00780129" w:rsidRDefault="002363E9" w:rsidP="00D01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8745,0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63E9" w:rsidRPr="00780129" w:rsidRDefault="002363E9" w:rsidP="004C16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 w:rsidR="004C16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E9" w:rsidRPr="002363E9" w:rsidRDefault="004C16FF" w:rsidP="004C16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E9" w:rsidRPr="002363E9" w:rsidRDefault="002363E9" w:rsidP="004C16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3E9">
              <w:rPr>
                <w:rFonts w:ascii="Times New Roman" w:hAnsi="Times New Roman" w:cs="Times New Roman"/>
                <w:b/>
                <w:bCs/>
                <w:color w:val="000000"/>
              </w:rPr>
              <w:t>103,</w:t>
            </w:r>
            <w:r w:rsidR="004C16F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</w:tbl>
    <w:p w:rsidR="00B21E78" w:rsidRPr="00780129" w:rsidRDefault="00724B59" w:rsidP="00B2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сравнении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</w:t>
      </w:r>
      <w:r w:rsidR="006111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496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д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оходы бюджетных учреждений в </w:t>
      </w:r>
      <w:r w:rsidR="00611194"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 w:rsidR="0022577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61119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3496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увеличились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4C16FF">
        <w:rPr>
          <w:rFonts w:ascii="Times New Roman" w:eastAsia="Times New Roman" w:hAnsi="Times New Roman" w:cs="Times New Roman"/>
          <w:color w:val="000000"/>
          <w:sz w:val="28"/>
          <w:szCs w:val="28"/>
        </w:rPr>
        <w:t>292,5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или на </w:t>
      </w:r>
      <w:r w:rsidR="00F3496F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="004C16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убсидия на выполнение государственного (муниципального) задания в </w:t>
      </w:r>
      <w:r w:rsidR="0022577B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увеличилась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F3496F">
        <w:rPr>
          <w:rFonts w:ascii="Times New Roman" w:eastAsia="Times New Roman" w:hAnsi="Times New Roman" w:cs="Times New Roman"/>
          <w:color w:val="000000"/>
          <w:sz w:val="28"/>
          <w:szCs w:val="28"/>
        </w:rPr>
        <w:t>331,5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или </w:t>
      </w:r>
      <w:r w:rsidR="00F3496F">
        <w:rPr>
          <w:rFonts w:ascii="Times New Roman" w:eastAsia="Times New Roman" w:hAnsi="Times New Roman" w:cs="Times New Roman"/>
          <w:color w:val="000000"/>
          <w:sz w:val="28"/>
          <w:szCs w:val="28"/>
        </w:rPr>
        <w:t>4,4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% по сравнению с прошлым годом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как 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обственные доходы учреждений </w:t>
      </w:r>
      <w:r w:rsidR="002B5DA8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снизились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2B5DA8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F3496F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A7579C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или 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B5DA8">
        <w:rPr>
          <w:rFonts w:ascii="Times New Roman" w:eastAsia="Times New Roman" w:hAnsi="Times New Roman" w:cs="Times New Roman"/>
          <w:color w:val="000000"/>
          <w:sz w:val="28"/>
          <w:szCs w:val="28"/>
        </w:rPr>
        <w:t>3,2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6A71" w:rsidRPr="00780129" w:rsidRDefault="007137AC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чреждениями произведены расходы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в разрезе экономических статей расходов за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F31B2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0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BF6D47">
        <w:rPr>
          <w:rFonts w:ascii="Times New Roman" w:eastAsia="Times New Roman" w:hAnsi="Times New Roman" w:cs="Times New Roman"/>
          <w:sz w:val="28"/>
          <w:szCs w:val="28"/>
        </w:rPr>
        <w:t>90</w:t>
      </w:r>
      <w:r w:rsidR="00EE4C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6D47">
        <w:rPr>
          <w:rFonts w:ascii="Times New Roman" w:eastAsia="Times New Roman" w:hAnsi="Times New Roman" w:cs="Times New Roman"/>
          <w:sz w:val="28"/>
          <w:szCs w:val="28"/>
        </w:rPr>
        <w:t>7,8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на следующие цели:</w:t>
      </w:r>
    </w:p>
    <w:p w:rsidR="00656A71" w:rsidRPr="00780129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467"/>
        <w:gridCol w:w="1113"/>
        <w:gridCol w:w="1025"/>
        <w:gridCol w:w="990"/>
        <w:gridCol w:w="991"/>
      </w:tblGrid>
      <w:tr w:rsidR="00D32809" w:rsidRPr="00780129" w:rsidTr="00BC5A4C">
        <w:trPr>
          <w:trHeight w:val="109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0F0433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 xml:space="preserve">Итого расходы </w:t>
            </w:r>
            <w:r w:rsidR="00DF787C" w:rsidRPr="00780129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F043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F787C" w:rsidRPr="00780129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9F1" w:rsidRPr="00780129" w:rsidRDefault="005B79F1" w:rsidP="000F0433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Итого расходы 20</w:t>
            </w:r>
            <w:r w:rsidR="00522B74" w:rsidRPr="0078012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F043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22B74"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F04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B76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F04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5B79F1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(+,-)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22B74"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F04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B76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F04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5B79F1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654B14" w:rsidRPr="00780129" w:rsidTr="00D01AE1">
        <w:trPr>
          <w:trHeight w:val="6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Оплата труда и начисления на выплату по оплате труда,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5418,7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6320,1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901,4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116,6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заработная плата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4171,6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4863,7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692,1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116,6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прочие выплаты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AC7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начисления на выплаты по оплате труда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1247,1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1452,6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205,5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116,5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Оплата работ, услуг,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2562,2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2047,0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-515,2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79,9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услуги связи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117,5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транспортные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-12,7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коммунальные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1056,6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560,3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-496,3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работы, услуги по содержанию имущества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571,4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628,6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прочие работы,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820,0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744,8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-75,2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290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Прочие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90,2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34,8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-55,4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Увеличение стоимости основных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208,6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122,5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-86,1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465,4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482,5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4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</w:tr>
      <w:tr w:rsidR="00654B14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14" w:rsidRPr="00780129" w:rsidRDefault="00654B14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8745,0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9037,5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292,5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14" w:rsidRPr="00654B14" w:rsidRDefault="00654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B14">
              <w:rPr>
                <w:rFonts w:ascii="Times New Roman" w:hAnsi="Times New Roman" w:cs="Times New Roman"/>
                <w:b/>
                <w:bCs/>
                <w:color w:val="000000"/>
              </w:rPr>
              <w:t>103,3</w:t>
            </w:r>
          </w:p>
        </w:tc>
      </w:tr>
    </w:tbl>
    <w:p w:rsidR="00AC789E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по бюджетным учреждениям выявил 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8F4578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прошлым годом.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 xml:space="preserve">Наибольшее увеличение наблюдается по оплате труда и начислениям – 16,6%, а наибольшее снижение к прошлому году наблюдается по оплате работ, услуг – 20,1%.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Расходы на заработную плату с начислениями (статьи 211, 212, 213) составили  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 – наибольший удельный вес.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работ, услуг 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>имеют удельный вес 22,6%.</w:t>
      </w:r>
    </w:p>
    <w:p w:rsidR="006113EC" w:rsidRPr="00780129" w:rsidRDefault="006113EC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в расходах бюджетных учреждений Суражского городского поселения занимают прочие  расходы – 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56A71" w:rsidRPr="00724B59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По данным формы 0503768 «Сведения о движении нефинансовых активов» (по виду деятельности субсидия на выполнение  муниципального задания) нефинансовые активы учреждений включают в себя стоимость основных средств</w:t>
      </w:r>
      <w:r w:rsidR="00DB1D9F" w:rsidRPr="007801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1D9F" w:rsidRPr="00724B59">
        <w:rPr>
          <w:rFonts w:ascii="Times New Roman" w:eastAsia="Times New Roman" w:hAnsi="Times New Roman" w:cs="Times New Roman"/>
          <w:sz w:val="28"/>
          <w:szCs w:val="28"/>
        </w:rPr>
        <w:t xml:space="preserve">непроизведенных активов 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 и материальных запасов, в том числе:</w:t>
      </w:r>
    </w:p>
    <w:p w:rsidR="00E67DE5" w:rsidRPr="00724B59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Стоимость основных средств </w:t>
      </w:r>
      <w:r w:rsidR="006F3626" w:rsidRPr="00724B59">
        <w:rPr>
          <w:rFonts w:ascii="Times New Roman" w:eastAsia="Times New Roman" w:hAnsi="Times New Roman" w:cs="Times New Roman"/>
          <w:sz w:val="28"/>
          <w:szCs w:val="28"/>
        </w:rPr>
        <w:t xml:space="preserve">по всем видам деятельности 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8F5F7E" w:rsidRPr="00724B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3626" w:rsidRPr="00724B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   </w:t>
      </w:r>
      <w:r w:rsidR="006F3626" w:rsidRPr="00724B59">
        <w:rPr>
          <w:rFonts w:ascii="Times New Roman" w:eastAsia="Times New Roman" w:hAnsi="Times New Roman" w:cs="Times New Roman"/>
          <w:sz w:val="28"/>
          <w:szCs w:val="28"/>
        </w:rPr>
        <w:t>7528,7</w:t>
      </w:r>
      <w:r w:rsidR="008F5F7E" w:rsidRPr="0072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тыс. рублей. Поступило основных средств за отчетный период в сумме </w:t>
      </w:r>
      <w:r w:rsidR="006F3626" w:rsidRPr="00724B5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E4C67" w:rsidRPr="00724B59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9A4264" w:rsidRPr="0072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A4264" w:rsidRPr="00724B59">
        <w:rPr>
          <w:rFonts w:ascii="Times New Roman" w:eastAsia="Times New Roman" w:hAnsi="Times New Roman" w:cs="Times New Roman"/>
          <w:sz w:val="28"/>
          <w:szCs w:val="28"/>
        </w:rPr>
        <w:t xml:space="preserve">нежилые помещения </w:t>
      </w:r>
      <w:r w:rsidR="008F5F7E" w:rsidRPr="00724B5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A4264" w:rsidRPr="00724B5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</w:t>
      </w:r>
      <w:r w:rsidR="004F49D1" w:rsidRPr="00724B59">
        <w:rPr>
          <w:rFonts w:ascii="Times New Roman" w:eastAsia="Times New Roman" w:hAnsi="Times New Roman" w:cs="Times New Roman"/>
          <w:sz w:val="28"/>
          <w:szCs w:val="28"/>
        </w:rPr>
        <w:t>47,9</w:t>
      </w:r>
      <w:r w:rsidR="008F5F7E" w:rsidRPr="0072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264" w:rsidRPr="00724B5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ыс. рублей, производственный и хозяйственный инвентарь в сумме </w:t>
      </w:r>
      <w:r w:rsidR="004F49D1" w:rsidRPr="00724B59">
        <w:rPr>
          <w:rFonts w:ascii="Times New Roman" w:eastAsia="Times New Roman" w:hAnsi="Times New Roman" w:cs="Times New Roman"/>
          <w:sz w:val="28"/>
          <w:szCs w:val="28"/>
        </w:rPr>
        <w:t>124,7</w:t>
      </w:r>
      <w:r w:rsidR="003108B9" w:rsidRPr="0072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32206F" w:rsidRPr="00724B59">
        <w:rPr>
          <w:rFonts w:ascii="Times New Roman" w:eastAsia="Times New Roman" w:hAnsi="Times New Roman" w:cs="Times New Roman"/>
          <w:sz w:val="28"/>
          <w:szCs w:val="28"/>
        </w:rPr>
        <w:t>прочие основные средства -</w:t>
      </w:r>
      <w:r w:rsidR="008F5F7E" w:rsidRPr="0072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264" w:rsidRPr="00724B5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2206F" w:rsidRPr="00724B5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67DE5" w:rsidRPr="00724B59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59">
        <w:rPr>
          <w:rFonts w:ascii="Times New Roman" w:eastAsia="Times New Roman" w:hAnsi="Times New Roman" w:cs="Times New Roman"/>
          <w:sz w:val="28"/>
          <w:szCs w:val="28"/>
        </w:rPr>
        <w:t>Выбы</w:t>
      </w:r>
      <w:r w:rsidR="0032206F" w:rsidRPr="00724B59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 </w:t>
      </w:r>
      <w:r w:rsidR="006F3626" w:rsidRPr="00724B59">
        <w:rPr>
          <w:rFonts w:ascii="Times New Roman" w:eastAsia="Times New Roman" w:hAnsi="Times New Roman" w:cs="Times New Roman"/>
          <w:sz w:val="28"/>
          <w:szCs w:val="28"/>
        </w:rPr>
        <w:t>122,1</w:t>
      </w:r>
      <w:r w:rsidR="0032206F" w:rsidRPr="00724B59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A4264" w:rsidRPr="00724B59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</w:t>
      </w:r>
      <w:r w:rsidR="006F3626" w:rsidRPr="00724B59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9A4264" w:rsidRPr="00724B5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67DE5" w:rsidRPr="00724B5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производственный и хозяйственный инвентарь </w:t>
      </w:r>
      <w:r w:rsidR="006F3626" w:rsidRPr="00724B59">
        <w:rPr>
          <w:rFonts w:ascii="Times New Roman" w:eastAsia="Times New Roman" w:hAnsi="Times New Roman" w:cs="Times New Roman"/>
          <w:sz w:val="28"/>
          <w:szCs w:val="28"/>
        </w:rPr>
        <w:t>116,0</w:t>
      </w:r>
      <w:r w:rsidR="009A4264" w:rsidRPr="0072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DE5" w:rsidRPr="00724B5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2206F" w:rsidRPr="00724B5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A71" w:rsidRPr="00724B59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Остаток на конец отчетного периода составил – </w:t>
      </w:r>
      <w:r w:rsidR="006F3626" w:rsidRPr="00724B59">
        <w:rPr>
          <w:rFonts w:ascii="Times New Roman" w:eastAsia="Times New Roman" w:hAnsi="Times New Roman" w:cs="Times New Roman"/>
          <w:sz w:val="28"/>
          <w:szCs w:val="28"/>
        </w:rPr>
        <w:t>7701,2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Default="00EA51E3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Остаточная стоимость 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 по всем видам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конец года 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1448,3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3108B9" w:rsidRPr="00780129" w:rsidRDefault="003108B9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Непроизведенные активы (земля) на начало</w:t>
      </w:r>
      <w:r w:rsidR="00867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конец года числится в сумме 3523,7 тыс. рублей.</w:t>
      </w:r>
    </w:p>
    <w:p w:rsidR="00656A71" w:rsidRPr="00780129" w:rsidRDefault="00656A71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66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26670">
        <w:rPr>
          <w:rFonts w:ascii="Times New Roman" w:eastAsia="Times New Roman" w:hAnsi="Times New Roman" w:cs="Times New Roman"/>
          <w:sz w:val="28"/>
          <w:szCs w:val="28"/>
        </w:rPr>
        <w:t>108,5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. Поступило материальных запасов за отчетный период </w:t>
      </w:r>
      <w:r w:rsidR="00826670">
        <w:rPr>
          <w:rFonts w:ascii="Times New Roman" w:eastAsia="Times New Roman" w:hAnsi="Times New Roman" w:cs="Times New Roman"/>
          <w:sz w:val="28"/>
          <w:szCs w:val="28"/>
        </w:rPr>
        <w:t>482,5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826670">
        <w:rPr>
          <w:rFonts w:ascii="Times New Roman" w:eastAsia="Times New Roman" w:hAnsi="Times New Roman" w:cs="Times New Roman"/>
          <w:sz w:val="28"/>
          <w:szCs w:val="28"/>
        </w:rPr>
        <w:t>478,4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тыс. рублей. На конец отчетного периода остаток 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26670">
        <w:rPr>
          <w:rFonts w:ascii="Times New Roman" w:eastAsia="Times New Roman" w:hAnsi="Times New Roman" w:cs="Times New Roman"/>
          <w:sz w:val="28"/>
          <w:szCs w:val="28"/>
        </w:rPr>
        <w:t>112,7</w:t>
      </w:r>
      <w:r w:rsidR="00FB5C39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F0D" w:rsidRPr="00780129" w:rsidRDefault="004B6F0D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По данным представленным в ф. 0503760 «Пояснительная записка» в 20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28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проведена инвентаризация</w:t>
      </w:r>
      <w:r w:rsidR="00B5641F" w:rsidRPr="007801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по итогам которой расхождений не выявлено.</w:t>
      </w:r>
    </w:p>
    <w:p w:rsidR="00656A71" w:rsidRPr="00780129" w:rsidRDefault="00656A71" w:rsidP="0045639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4E48" w:rsidRPr="00780129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0503769 «Сведения о дебиторской и кредиторской задолженности учреждения» задолженности 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расходам 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й Суражского городского поселения 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74E48" w:rsidRPr="00780129">
        <w:rPr>
          <w:rFonts w:ascii="Times New Roman" w:eastAsia="Times New Roman" w:hAnsi="Times New Roman" w:cs="Times New Roman"/>
          <w:sz w:val="28"/>
          <w:szCs w:val="28"/>
        </w:rPr>
        <w:t>не имеется.</w:t>
      </w:r>
    </w:p>
    <w:p w:rsidR="00CA5521" w:rsidRDefault="00A22438" w:rsidP="00CB689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80129">
        <w:rPr>
          <w:rFonts w:ascii="Times New Roman" w:hAnsi="Times New Roman" w:cs="Times New Roman"/>
          <w:b/>
          <w:spacing w:val="-6"/>
          <w:sz w:val="28"/>
          <w:szCs w:val="28"/>
        </w:rPr>
        <w:t>7.</w:t>
      </w:r>
      <w:r w:rsidR="00A753BE" w:rsidRPr="00780129">
        <w:rPr>
          <w:rFonts w:ascii="Times New Roman" w:hAnsi="Times New Roman" w:cs="Times New Roman"/>
          <w:b/>
          <w:spacing w:val="-6"/>
          <w:sz w:val="28"/>
          <w:szCs w:val="28"/>
        </w:rPr>
        <w:t>9.</w:t>
      </w:r>
      <w:r w:rsidRPr="007801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80129">
        <w:rPr>
          <w:rFonts w:ascii="Times New Roman" w:hAnsi="Times New Roman" w:cs="Times New Roman"/>
          <w:b/>
          <w:sz w:val="28"/>
          <w:szCs w:val="28"/>
        </w:rPr>
        <w:t>Провести</w:t>
      </w:r>
      <w:r w:rsidRPr="007801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проверку представленных форм бюджетной отчетности на соответствие требованиям Инструкции о порядке составления и представления годовой, квартальной и месячной отчетности об исполнении бюджетов бюджетной системы Российской Федерации.</w:t>
      </w:r>
    </w:p>
    <w:p w:rsidR="0064675C" w:rsidRPr="00656A71" w:rsidRDefault="00CB6898" w:rsidP="00CA55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675C" w:rsidRPr="00CA5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675C" w:rsidRPr="00656A7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64675C"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8EB" w:rsidRPr="00790679" w:rsidRDefault="001978EB" w:rsidP="001978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К внешней проверке представлена отчетность об исполнении бюджета </w:t>
      </w:r>
      <w:r w:rsidRPr="00790679">
        <w:rPr>
          <w:rFonts w:ascii="Times New Roman" w:hAnsi="Times New Roman" w:cs="Times New Roman"/>
          <w:sz w:val="28"/>
          <w:szCs w:val="28"/>
        </w:rPr>
        <w:t>Сураж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="0051347B">
        <w:rPr>
          <w:rFonts w:ascii="Times New Roman" w:hAnsi="Times New Roman" w:cs="Times New Roman"/>
          <w:spacing w:val="-6"/>
          <w:sz w:val="28"/>
          <w:szCs w:val="28"/>
        </w:rPr>
        <w:t xml:space="preserve">, а так же 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бюджетных учреждений Суражского городского поселения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78EB" w:rsidRDefault="001978EB" w:rsidP="000069F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90679">
        <w:rPr>
          <w:rFonts w:ascii="Times New Roman" w:hAnsi="Times New Roman" w:cs="Times New Roman"/>
          <w:spacing w:val="-6"/>
          <w:sz w:val="28"/>
          <w:szCs w:val="28"/>
        </w:rPr>
        <w:t>В рамках проведения настоящей внешней проверки проанализирована полнота заполнения форм бюджетной отчетности, как главными распорядителями средств бюджета района, так и в целом бюджета района,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 191н (далее – Инструкции № 191н), и Инструкции о</w:t>
      </w:r>
      <w:proofErr w:type="gramEnd"/>
      <w:r w:rsidRPr="00790679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gramStart"/>
      <w:r w:rsidRPr="00790679">
        <w:rPr>
          <w:rFonts w:ascii="Times New Roman" w:hAnsi="Times New Roman" w:cs="Times New Roman"/>
          <w:spacing w:val="-6"/>
          <w:sz w:val="28"/>
          <w:szCs w:val="28"/>
        </w:rPr>
        <w:t>порядке</w:t>
      </w:r>
      <w:proofErr w:type="gramEnd"/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составления и предоставления годовой, квартальной и месячной отчетности государственных (муниципальных) бюджетных и автономных учреждений, утвержденной приказом Минфина России от 25.03.2010 № 33н (далее – Инструкции № 33н).</w:t>
      </w:r>
    </w:p>
    <w:p w:rsidR="001978EB" w:rsidRDefault="001978EB" w:rsidP="000069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за 202</w:t>
      </w:r>
      <w:r w:rsidR="004F49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 год в Контрольно-счетную палату Суражского муниципального района представлена без нарушений установленного срока.</w:t>
      </w:r>
    </w:p>
    <w:p w:rsidR="001978EB" w:rsidRPr="004259C6" w:rsidRDefault="001978EB" w:rsidP="000069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сформирована в соответствии с подпунктом 11.1. Инструкции  № 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т.е. в полном объеме. Так же, в полном объеме представлена отчетность бюджетных учреждений </w:t>
      </w:r>
      <w:r w:rsidR="0061363D" w:rsidRPr="00790679">
        <w:rPr>
          <w:rFonts w:ascii="Times New Roman" w:hAnsi="Times New Roman" w:cs="Times New Roman"/>
          <w:sz w:val="28"/>
          <w:szCs w:val="28"/>
        </w:rPr>
        <w:t>Сураж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Суражского муниципального района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, что соответствует Инструкции №33.</w:t>
      </w:r>
    </w:p>
    <w:p w:rsidR="001978EB" w:rsidRPr="004259C6" w:rsidRDefault="001978EB" w:rsidP="00197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 инструкции № 191н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Инструкцией 33н 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1978EB" w:rsidRPr="004259C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1978EB" w:rsidRPr="00AF1E46" w:rsidRDefault="001978EB" w:rsidP="0019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4C53F1">
        <w:rPr>
          <w:rFonts w:ascii="Times New Roman" w:hAnsi="Times New Roman" w:cs="Times New Roman"/>
          <w:spacing w:val="-6"/>
          <w:sz w:val="28"/>
          <w:szCs w:val="28"/>
        </w:rPr>
        <w:t xml:space="preserve">выборочной проверки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об исполнении бюджета </w:t>
      </w:r>
      <w:r w:rsidR="0061363D" w:rsidRPr="00790679">
        <w:rPr>
          <w:rFonts w:ascii="Times New Roman" w:hAnsi="Times New Roman" w:cs="Times New Roman"/>
          <w:sz w:val="28"/>
          <w:szCs w:val="28"/>
        </w:rPr>
        <w:t>Сураж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3616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</w:t>
      </w:r>
      <w:r w:rsidRPr="00AF1E46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1978EB" w:rsidRPr="00FF30E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E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1978EB" w:rsidRPr="00FF30E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E6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45A7B">
        <w:rPr>
          <w:rFonts w:ascii="Times New Roman" w:eastAsia="Times New Roman" w:hAnsi="Times New Roman" w:cs="Times New Roman"/>
          <w:sz w:val="28"/>
          <w:szCs w:val="28"/>
        </w:rPr>
        <w:t>«Баланса государственного (муниципального) учреждения» (форма 0503730)</w:t>
      </w:r>
      <w:r w:rsidR="00A503E2">
        <w:rPr>
          <w:rFonts w:ascii="Times New Roman" w:eastAsia="Times New Roman" w:hAnsi="Times New Roman" w:cs="Times New Roman"/>
          <w:sz w:val="28"/>
          <w:szCs w:val="28"/>
        </w:rPr>
        <w:t>, а так же их сопоставления с взаимосвязанными формами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0E6">
        <w:rPr>
          <w:rFonts w:ascii="Times New Roman" w:eastAsia="Times New Roman" w:hAnsi="Times New Roman" w:cs="Times New Roman"/>
          <w:sz w:val="28"/>
          <w:szCs w:val="28"/>
        </w:rPr>
        <w:t xml:space="preserve">замечаний нет. </w:t>
      </w:r>
    </w:p>
    <w:p w:rsidR="00A22438" w:rsidRPr="00E34411" w:rsidRDefault="00A22438" w:rsidP="003E34FD">
      <w:pPr>
        <w:widowControl w:val="0"/>
        <w:tabs>
          <w:tab w:val="left" w:pos="2552"/>
        </w:tabs>
        <w:spacing w:before="120" w:after="0"/>
        <w:ind w:firstLine="709"/>
        <w:jc w:val="both"/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7.1</w:t>
      </w:r>
      <w:r w:rsidR="000F4563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0</w:t>
      </w: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. Провести сравнительный анализ итогов настоящей внешней проверки в сравнении с результатами предыдущей внешней проверки.</w:t>
      </w:r>
    </w:p>
    <w:p w:rsidR="00AA5C55" w:rsidRPr="00E34411" w:rsidRDefault="00A22438" w:rsidP="003E34F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Суражского муниципального района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в 20</w:t>
      </w:r>
      <w:r w:rsidR="001978E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6167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году в отношении отчетности за 20</w:t>
      </w:r>
      <w:r w:rsidR="0033111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6167B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год.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Нарушений по составу отчетности и ее заполнению не установлено.</w:t>
      </w:r>
    </w:p>
    <w:p w:rsidR="00901078" w:rsidRDefault="00901078" w:rsidP="003E34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A71" w:rsidRPr="0045639B" w:rsidRDefault="003E34FD" w:rsidP="003E34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39B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656A71" w:rsidRPr="0045639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630189" w:rsidRPr="000F404F" w:rsidRDefault="00630189" w:rsidP="00630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80594" w:rsidRPr="000F40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B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и составу 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требованиям с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264.6. Бюджетного кодекса РФ. </w:t>
      </w:r>
    </w:p>
    <w:p w:rsidR="00724B59" w:rsidRDefault="00727517" w:rsidP="007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A36FA7" w:rsidRPr="000F40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B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677B74">
        <w:rPr>
          <w:rFonts w:ascii="Times New Roman" w:eastAsia="Times New Roman" w:hAnsi="Times New Roman" w:cs="Times New Roman"/>
          <w:sz w:val="28"/>
          <w:szCs w:val="28"/>
        </w:rPr>
        <w:t>396661,9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100,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373775,0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с 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ицитом в сумме  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22886,9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A1F3D" w:rsidRDefault="00724B59" w:rsidP="0072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бюджета осуществлялось в программном формате. Так, в</w:t>
      </w:r>
      <w:r w:rsidR="00CA1F3D" w:rsidRPr="000F404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 xml:space="preserve"> с уточненным бюджетом поселения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4-х муниципальных программ утвержден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380308,0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освоение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378020,1 ты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>с. рублей, или 9</w:t>
      </w:r>
      <w:r>
        <w:rPr>
          <w:rFonts w:ascii="Times New Roman" w:eastAsia="Times New Roman" w:hAnsi="Times New Roman" w:cs="Times New Roman"/>
          <w:sz w:val="28"/>
          <w:szCs w:val="28"/>
        </w:rPr>
        <w:t>9,9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>% от утвержденного объема.</w:t>
      </w:r>
    </w:p>
    <w:p w:rsidR="00FB7A03" w:rsidRPr="00656A71" w:rsidRDefault="00FB7A03" w:rsidP="00FB7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4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муниципальных программ было проанализировано на основании данных годового отчета о ходе реализации и оценке эффективности реализации 4-х муниципальных программ размещенных на сайте Администрации Суражского района.</w:t>
      </w:r>
    </w:p>
    <w:p w:rsidR="00FB7A03" w:rsidRPr="00E25774" w:rsidRDefault="00FB7A03" w:rsidP="00FB7A03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74">
        <w:rPr>
          <w:rFonts w:ascii="Times New Roman" w:eastAsia="Times New Roman" w:hAnsi="Times New Roman" w:cs="Times New Roman"/>
          <w:sz w:val="28"/>
          <w:szCs w:val="28"/>
        </w:rPr>
        <w:t>Непрограммная часть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утверждена в объеме 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230,5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74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ие составило 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% годовых плановых показателей.</w:t>
      </w:r>
    </w:p>
    <w:p w:rsidR="00A00C30" w:rsidRDefault="00A00C30" w:rsidP="00A00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</w:t>
      </w:r>
      <w:r w:rsidR="00187C30">
        <w:rPr>
          <w:rFonts w:ascii="Times New Roman" w:eastAsia="Times New Roman" w:hAnsi="Times New Roman" w:cs="Times New Roman"/>
          <w:sz w:val="28"/>
          <w:szCs w:val="28"/>
        </w:rPr>
        <w:t xml:space="preserve">Полнота представленной к проверке отчетности соответствует Бюджетному кодексу РФ. </w:t>
      </w:r>
    </w:p>
    <w:p w:rsidR="00727517" w:rsidRPr="00656A71" w:rsidRDefault="00727517" w:rsidP="007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для внешней проверки годовая бухгалтерская отчётность </w:t>
      </w:r>
      <w:r w:rsidR="009C2302" w:rsidRPr="00790679">
        <w:rPr>
          <w:rFonts w:ascii="Times New Roman" w:hAnsi="Times New Roman" w:cs="Times New Roman"/>
          <w:sz w:val="28"/>
          <w:szCs w:val="28"/>
        </w:rPr>
        <w:t>Сураж</w:t>
      </w:r>
      <w:r w:rsidR="009C2302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9C2302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достоверно отражает его финансовое положение на 01.01.20</w:t>
      </w:r>
      <w:r w:rsidR="000F31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 деятельности за период с 01.01.20</w:t>
      </w:r>
      <w:r w:rsidR="006A48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 по 31.12.20</w:t>
      </w:r>
      <w:r w:rsidR="006A48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A4894" w:rsidRPr="004259C6" w:rsidRDefault="006A4894" w:rsidP="006A4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 инструкции № 191н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Инструкцией 33н 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6A4894" w:rsidRPr="004259C6" w:rsidRDefault="006A4894" w:rsidP="006A48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6A4894" w:rsidRPr="00AF1E46" w:rsidRDefault="006A4894" w:rsidP="006A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4C53F1">
        <w:rPr>
          <w:rFonts w:ascii="Times New Roman" w:hAnsi="Times New Roman" w:cs="Times New Roman"/>
          <w:spacing w:val="-6"/>
          <w:sz w:val="28"/>
          <w:szCs w:val="28"/>
        </w:rPr>
        <w:t xml:space="preserve">выборочной проверки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об исполнении бюджета </w:t>
      </w:r>
      <w:r w:rsidRPr="00790679">
        <w:rPr>
          <w:rFonts w:ascii="Times New Roman" w:hAnsi="Times New Roman" w:cs="Times New Roman"/>
          <w:sz w:val="28"/>
          <w:szCs w:val="28"/>
        </w:rPr>
        <w:t>Сураж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контрольных соотношений </w:t>
      </w:r>
      <w:r w:rsidRPr="00AF1E46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6A4894" w:rsidRDefault="006A4894" w:rsidP="006A48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E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A837E4" w:rsidRDefault="00A837E4" w:rsidP="00A8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 ст. 34 Бюджетного кодекса РФ</w:t>
      </w:r>
      <w:r w:rsidR="007478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осуществлении расходов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Суражского городского поселения установлены неэффективные расходы</w:t>
      </w:r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>, выразивш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>еся в оплате за счет бюджетных сре</w:t>
      </w:r>
      <w:proofErr w:type="gramStart"/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>дств штр</w:t>
      </w:r>
      <w:proofErr w:type="gramEnd"/>
      <w:r w:rsidRPr="00D01AE1">
        <w:rPr>
          <w:rFonts w:ascii="Times New Roman" w:eastAsia="Times New Roman" w:hAnsi="Times New Roman" w:cs="Times New Roman"/>
          <w:b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и исполнительского сбора в 2-х случаях на сумму 230,0 тыс. рублей (30,0+200,0).</w:t>
      </w:r>
    </w:p>
    <w:p w:rsidR="00887B6F" w:rsidRDefault="00887B6F" w:rsidP="00456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39B" w:rsidRDefault="0045639B" w:rsidP="00456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Предложения</w:t>
      </w:r>
    </w:p>
    <w:p w:rsidR="00656A71" w:rsidRDefault="00781952" w:rsidP="00C87E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FE074E" w:rsidRPr="00C87E6B">
        <w:rPr>
          <w:rFonts w:ascii="Times New Roman" w:eastAsia="Times New Roman" w:hAnsi="Times New Roman" w:cs="Times New Roman"/>
          <w:bCs/>
          <w:sz w:val="28"/>
          <w:szCs w:val="28"/>
        </w:rPr>
        <w:t>На основании вышеизложенного, Контрольно-счетная палата Суражского муниципального района предлагает:</w:t>
      </w:r>
      <w:r w:rsidR="00656A71" w:rsidRPr="00C87E6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23BDC" w:rsidRPr="00D64608" w:rsidRDefault="00E23BDC" w:rsidP="00D64608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0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Направить заключение </w:t>
      </w:r>
      <w:r w:rsidRPr="00D64608">
        <w:rPr>
          <w:rFonts w:ascii="Times New Roman" w:eastAsia="Times New Roman" w:hAnsi="Times New Roman" w:cs="Times New Roman"/>
          <w:sz w:val="28"/>
          <w:szCs w:val="28"/>
        </w:rPr>
        <w:t xml:space="preserve">на Отчет об исполнении бюджета Суражского городского поселения </w:t>
      </w:r>
      <w:r w:rsidR="00EA68CE" w:rsidRPr="00D64608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D64608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724B59" w:rsidRPr="00D646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4608">
        <w:rPr>
          <w:rFonts w:ascii="Times New Roman" w:eastAsia="Times New Roman" w:hAnsi="Times New Roman" w:cs="Times New Roman"/>
          <w:sz w:val="28"/>
          <w:szCs w:val="28"/>
        </w:rPr>
        <w:t xml:space="preserve"> год в Совет народных депутатов города Суража и администрацию Суражского муниципального района.</w:t>
      </w:r>
    </w:p>
    <w:p w:rsidR="00D64608" w:rsidRPr="00D64608" w:rsidRDefault="00D64608" w:rsidP="00B73EDC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При исполнении бюджета не допускать неэффективных (безрезультативных) расходов.</w:t>
      </w:r>
    </w:p>
    <w:p w:rsidR="00E20674" w:rsidRPr="008E5748" w:rsidRDefault="00D64608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56A71" w:rsidRPr="00562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представленную отчетность и </w:t>
      </w:r>
      <w:r w:rsidR="00E20674" w:rsidRPr="008E5748">
        <w:rPr>
          <w:rFonts w:ascii="Times New Roman" w:eastAsia="Times New Roman" w:hAnsi="Times New Roman" w:cs="Times New Roman"/>
          <w:spacing w:val="-6"/>
          <w:sz w:val="28"/>
          <w:szCs w:val="28"/>
        </w:rPr>
        <w:t>иные представленные документы, содержащие информацию об исполнении бюджета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, Контрольно-счетная палата Суражского муниципального района предлагает Совету народных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депутатов </w:t>
      </w:r>
      <w:r w:rsidR="00E20674" w:rsidRPr="00562748">
        <w:rPr>
          <w:rFonts w:ascii="Times New Roman" w:eastAsia="Times New Roman" w:hAnsi="Times New Roman" w:cs="Times New Roman"/>
          <w:sz w:val="28"/>
          <w:szCs w:val="28"/>
        </w:rPr>
        <w:t xml:space="preserve">города Суража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73EDC">
        <w:rPr>
          <w:rFonts w:ascii="Times New Roman" w:eastAsia="Times New Roman" w:hAnsi="Times New Roman" w:cs="Times New Roman"/>
          <w:sz w:val="28"/>
          <w:szCs w:val="28"/>
        </w:rPr>
        <w:t xml:space="preserve"> к рассмотрению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904585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          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Председатель</w:t>
      </w:r>
      <w:proofErr w:type="gramStart"/>
      <w:r w:rsidRPr="00A3694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C547EC">
        <w:rPr>
          <w:rFonts w:ascii="Times New Roman" w:eastAsia="Times New Roman" w:hAnsi="Times New Roman" w:cs="Times New Roman"/>
          <w:bCs/>
          <w:sz w:val="28"/>
        </w:rPr>
        <w:t xml:space="preserve">  </w:t>
      </w:r>
      <w:proofErr w:type="spellStart"/>
      <w:r w:rsidRPr="00A36947">
        <w:rPr>
          <w:rFonts w:ascii="Times New Roman" w:eastAsia="Times New Roman" w:hAnsi="Times New Roman" w:cs="Times New Roman"/>
          <w:bCs/>
          <w:sz w:val="28"/>
        </w:rPr>
        <w:t>К</w:t>
      </w:r>
      <w:proofErr w:type="gramEnd"/>
      <w:r w:rsidRPr="00A36947">
        <w:rPr>
          <w:rFonts w:ascii="Times New Roman" w:eastAsia="Times New Roman" w:hAnsi="Times New Roman" w:cs="Times New Roman"/>
          <w:bCs/>
          <w:sz w:val="28"/>
        </w:rPr>
        <w:t>онтрольно</w:t>
      </w:r>
      <w:proofErr w:type="spellEnd"/>
      <w:r w:rsidRPr="00A36947">
        <w:rPr>
          <w:rFonts w:ascii="Times New Roman" w:eastAsia="Times New Roman" w:hAnsi="Times New Roman" w:cs="Times New Roman"/>
          <w:bCs/>
          <w:sz w:val="28"/>
        </w:rPr>
        <w:t xml:space="preserve"> – счетной палаты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  </w:t>
      </w:r>
      <w:r w:rsidR="00A36947">
        <w:rPr>
          <w:rFonts w:ascii="Times New Roman" w:eastAsia="Times New Roman" w:hAnsi="Times New Roman" w:cs="Times New Roman"/>
          <w:bCs/>
          <w:sz w:val="28"/>
        </w:rPr>
        <w:t xml:space="preserve">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>                           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Н</w:t>
      </w:r>
      <w:r w:rsidRPr="00A36947">
        <w:rPr>
          <w:rFonts w:ascii="Times New Roman" w:eastAsia="Times New Roman" w:hAnsi="Times New Roman" w:cs="Times New Roman"/>
          <w:bCs/>
          <w:sz w:val="28"/>
        </w:rPr>
        <w:t>.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В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4F2428" w:rsidRDefault="004F2428" w:rsidP="0065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428" w:rsidRPr="004F2428" w:rsidRDefault="004F2428" w:rsidP="00656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28">
        <w:rPr>
          <w:rFonts w:ascii="Times New Roman" w:eastAsia="Times New Roman" w:hAnsi="Times New Roman" w:cs="Times New Roman"/>
          <w:sz w:val="28"/>
          <w:szCs w:val="28"/>
        </w:rPr>
        <w:t>Глава администрации Суражского</w:t>
      </w:r>
    </w:p>
    <w:p w:rsidR="004F2428" w:rsidRPr="004F2428" w:rsidRDefault="004F2428" w:rsidP="004F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4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0F5D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6F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F5D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F2428">
        <w:rPr>
          <w:rFonts w:ascii="Times New Roman" w:eastAsia="Times New Roman" w:hAnsi="Times New Roman" w:cs="Times New Roman"/>
          <w:sz w:val="28"/>
          <w:szCs w:val="28"/>
        </w:rPr>
        <w:t xml:space="preserve">     В. П. Риваненко</w:t>
      </w:r>
      <w:r w:rsidR="00656A71" w:rsidRPr="004F2428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4F2428" w:rsidRPr="004F2428" w:rsidRDefault="004F2428" w:rsidP="004F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95A" w:rsidRPr="00A36947" w:rsidRDefault="0038595A" w:rsidP="003859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Главный бухгалтер                   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            </w:t>
      </w:r>
      <w:r>
        <w:rPr>
          <w:rFonts w:ascii="Times New Roman" w:eastAsia="Times New Roman" w:hAnsi="Times New Roman" w:cs="Times New Roman"/>
          <w:bCs/>
          <w:sz w:val="28"/>
        </w:rPr>
        <w:t xml:space="preserve">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bCs/>
          <w:sz w:val="28"/>
        </w:rPr>
        <w:t>Т</w:t>
      </w:r>
      <w:r w:rsidRPr="00A36947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>Н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Сапич</w:t>
      </w:r>
      <w:proofErr w:type="spellEnd"/>
    </w:p>
    <w:p w:rsidR="0038595A" w:rsidRDefault="0038595A" w:rsidP="0038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A71" w:rsidRPr="004F2428" w:rsidRDefault="00656A71" w:rsidP="0028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6A71" w:rsidRPr="004F2428" w:rsidSect="00375D84">
      <w:footerReference w:type="default" r:id="rId11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9B" w:rsidRDefault="004E7E9B" w:rsidP="00CA6FFC">
      <w:pPr>
        <w:spacing w:after="0" w:line="240" w:lineRule="auto"/>
      </w:pPr>
      <w:r>
        <w:separator/>
      </w:r>
    </w:p>
  </w:endnote>
  <w:endnote w:type="continuationSeparator" w:id="0">
    <w:p w:rsidR="004E7E9B" w:rsidRDefault="004E7E9B" w:rsidP="00CA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890"/>
      <w:docPartObj>
        <w:docPartGallery w:val="Page Numbers (Bottom of Page)"/>
        <w:docPartUnique/>
      </w:docPartObj>
    </w:sdtPr>
    <w:sdtEndPr/>
    <w:sdtContent>
      <w:p w:rsidR="00D01AE1" w:rsidRDefault="00D01A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51">
          <w:rPr>
            <w:noProof/>
          </w:rPr>
          <w:t>6</w:t>
        </w:r>
        <w:r>
          <w:fldChar w:fldCharType="end"/>
        </w:r>
      </w:p>
    </w:sdtContent>
  </w:sdt>
  <w:p w:rsidR="00D01AE1" w:rsidRDefault="00D01A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9B" w:rsidRDefault="004E7E9B" w:rsidP="00CA6FFC">
      <w:pPr>
        <w:spacing w:after="0" w:line="240" w:lineRule="auto"/>
      </w:pPr>
      <w:r>
        <w:separator/>
      </w:r>
    </w:p>
  </w:footnote>
  <w:footnote w:type="continuationSeparator" w:id="0">
    <w:p w:rsidR="004E7E9B" w:rsidRDefault="004E7E9B" w:rsidP="00CA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B30"/>
    <w:multiLevelType w:val="hybridMultilevel"/>
    <w:tmpl w:val="90E2A27E"/>
    <w:lvl w:ilvl="0" w:tplc="30EE90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7642D"/>
    <w:multiLevelType w:val="hybridMultilevel"/>
    <w:tmpl w:val="78B05E5C"/>
    <w:lvl w:ilvl="0" w:tplc="600E4F02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A71"/>
    <w:rsid w:val="00002E75"/>
    <w:rsid w:val="00005D6F"/>
    <w:rsid w:val="000069FD"/>
    <w:rsid w:val="00007BA6"/>
    <w:rsid w:val="0001029E"/>
    <w:rsid w:val="00010989"/>
    <w:rsid w:val="0002052E"/>
    <w:rsid w:val="000210AB"/>
    <w:rsid w:val="00021877"/>
    <w:rsid w:val="00023B3C"/>
    <w:rsid w:val="0002463B"/>
    <w:rsid w:val="000258CD"/>
    <w:rsid w:val="000273B5"/>
    <w:rsid w:val="00027FEF"/>
    <w:rsid w:val="00030323"/>
    <w:rsid w:val="000305EB"/>
    <w:rsid w:val="00030917"/>
    <w:rsid w:val="0003113B"/>
    <w:rsid w:val="00031614"/>
    <w:rsid w:val="00031848"/>
    <w:rsid w:val="00031E1E"/>
    <w:rsid w:val="00032DE9"/>
    <w:rsid w:val="00033734"/>
    <w:rsid w:val="00034D29"/>
    <w:rsid w:val="00036063"/>
    <w:rsid w:val="000371B8"/>
    <w:rsid w:val="0003734B"/>
    <w:rsid w:val="000408FF"/>
    <w:rsid w:val="00042698"/>
    <w:rsid w:val="00054CB4"/>
    <w:rsid w:val="00057FBF"/>
    <w:rsid w:val="00061654"/>
    <w:rsid w:val="00063422"/>
    <w:rsid w:val="00063B52"/>
    <w:rsid w:val="0006443F"/>
    <w:rsid w:val="00064929"/>
    <w:rsid w:val="00066907"/>
    <w:rsid w:val="00072DAF"/>
    <w:rsid w:val="000747CB"/>
    <w:rsid w:val="00076A95"/>
    <w:rsid w:val="0007796F"/>
    <w:rsid w:val="00082BD2"/>
    <w:rsid w:val="0008498D"/>
    <w:rsid w:val="0008555F"/>
    <w:rsid w:val="00085D68"/>
    <w:rsid w:val="00086AB4"/>
    <w:rsid w:val="000908A6"/>
    <w:rsid w:val="000909A9"/>
    <w:rsid w:val="000943BF"/>
    <w:rsid w:val="00096524"/>
    <w:rsid w:val="000A0551"/>
    <w:rsid w:val="000A09D8"/>
    <w:rsid w:val="000A1E1B"/>
    <w:rsid w:val="000A5124"/>
    <w:rsid w:val="000B0180"/>
    <w:rsid w:val="000B1302"/>
    <w:rsid w:val="000B1639"/>
    <w:rsid w:val="000B40B5"/>
    <w:rsid w:val="000B55E1"/>
    <w:rsid w:val="000B7306"/>
    <w:rsid w:val="000C3907"/>
    <w:rsid w:val="000C4C56"/>
    <w:rsid w:val="000C5CC8"/>
    <w:rsid w:val="000C62CD"/>
    <w:rsid w:val="000C7707"/>
    <w:rsid w:val="000D0D0C"/>
    <w:rsid w:val="000D20DE"/>
    <w:rsid w:val="000D21AB"/>
    <w:rsid w:val="000D405C"/>
    <w:rsid w:val="000D6115"/>
    <w:rsid w:val="000D78A9"/>
    <w:rsid w:val="000E0498"/>
    <w:rsid w:val="000E34CB"/>
    <w:rsid w:val="000E616C"/>
    <w:rsid w:val="000F0433"/>
    <w:rsid w:val="000F3114"/>
    <w:rsid w:val="000F3F4C"/>
    <w:rsid w:val="000F404F"/>
    <w:rsid w:val="000F43BE"/>
    <w:rsid w:val="000F4563"/>
    <w:rsid w:val="000F5D03"/>
    <w:rsid w:val="00100A48"/>
    <w:rsid w:val="00100ECB"/>
    <w:rsid w:val="00104A28"/>
    <w:rsid w:val="00105708"/>
    <w:rsid w:val="00111CB9"/>
    <w:rsid w:val="001137C7"/>
    <w:rsid w:val="00113ABB"/>
    <w:rsid w:val="00115726"/>
    <w:rsid w:val="00121D27"/>
    <w:rsid w:val="00122025"/>
    <w:rsid w:val="00122BD9"/>
    <w:rsid w:val="00122FC3"/>
    <w:rsid w:val="00130794"/>
    <w:rsid w:val="00131610"/>
    <w:rsid w:val="00132D57"/>
    <w:rsid w:val="0013332F"/>
    <w:rsid w:val="0013604F"/>
    <w:rsid w:val="001360E0"/>
    <w:rsid w:val="0014090E"/>
    <w:rsid w:val="00140CA8"/>
    <w:rsid w:val="00140DF0"/>
    <w:rsid w:val="001417BA"/>
    <w:rsid w:val="00142718"/>
    <w:rsid w:val="00144157"/>
    <w:rsid w:val="00144AA1"/>
    <w:rsid w:val="001459B1"/>
    <w:rsid w:val="001465F9"/>
    <w:rsid w:val="0014779A"/>
    <w:rsid w:val="00151601"/>
    <w:rsid w:val="0015355E"/>
    <w:rsid w:val="0015377C"/>
    <w:rsid w:val="001562AC"/>
    <w:rsid w:val="001573C9"/>
    <w:rsid w:val="00160A9B"/>
    <w:rsid w:val="001630A3"/>
    <w:rsid w:val="00163109"/>
    <w:rsid w:val="001639FA"/>
    <w:rsid w:val="00164B71"/>
    <w:rsid w:val="00166C84"/>
    <w:rsid w:val="00167732"/>
    <w:rsid w:val="00167747"/>
    <w:rsid w:val="00171184"/>
    <w:rsid w:val="00175E41"/>
    <w:rsid w:val="00180967"/>
    <w:rsid w:val="0018422B"/>
    <w:rsid w:val="00187B17"/>
    <w:rsid w:val="00187C30"/>
    <w:rsid w:val="001916B8"/>
    <w:rsid w:val="00193109"/>
    <w:rsid w:val="00193722"/>
    <w:rsid w:val="00193841"/>
    <w:rsid w:val="001939D6"/>
    <w:rsid w:val="00194A88"/>
    <w:rsid w:val="001978EB"/>
    <w:rsid w:val="001A0A4D"/>
    <w:rsid w:val="001A0CF7"/>
    <w:rsid w:val="001A3A36"/>
    <w:rsid w:val="001A4EA3"/>
    <w:rsid w:val="001A517E"/>
    <w:rsid w:val="001B042B"/>
    <w:rsid w:val="001B0F8A"/>
    <w:rsid w:val="001B4CD6"/>
    <w:rsid w:val="001C690D"/>
    <w:rsid w:val="001C7C70"/>
    <w:rsid w:val="001D02BF"/>
    <w:rsid w:val="001D0ED4"/>
    <w:rsid w:val="001D1C02"/>
    <w:rsid w:val="001D75B9"/>
    <w:rsid w:val="001D77BF"/>
    <w:rsid w:val="001E086B"/>
    <w:rsid w:val="001E3149"/>
    <w:rsid w:val="001E57EE"/>
    <w:rsid w:val="001F0BFD"/>
    <w:rsid w:val="001F2B31"/>
    <w:rsid w:val="001F3685"/>
    <w:rsid w:val="001F372C"/>
    <w:rsid w:val="00200442"/>
    <w:rsid w:val="00202B7A"/>
    <w:rsid w:val="00203E5C"/>
    <w:rsid w:val="00204F7A"/>
    <w:rsid w:val="002064B1"/>
    <w:rsid w:val="00206D58"/>
    <w:rsid w:val="00212A30"/>
    <w:rsid w:val="00213416"/>
    <w:rsid w:val="00214A52"/>
    <w:rsid w:val="00216325"/>
    <w:rsid w:val="00216C61"/>
    <w:rsid w:val="00217614"/>
    <w:rsid w:val="00220074"/>
    <w:rsid w:val="0022047A"/>
    <w:rsid w:val="00221CC5"/>
    <w:rsid w:val="002234D9"/>
    <w:rsid w:val="0022496C"/>
    <w:rsid w:val="0022577B"/>
    <w:rsid w:val="00227F52"/>
    <w:rsid w:val="00230667"/>
    <w:rsid w:val="00231C54"/>
    <w:rsid w:val="002327ED"/>
    <w:rsid w:val="00235116"/>
    <w:rsid w:val="002352E4"/>
    <w:rsid w:val="002363E9"/>
    <w:rsid w:val="0024004F"/>
    <w:rsid w:val="0024145B"/>
    <w:rsid w:val="00241E18"/>
    <w:rsid w:val="00243709"/>
    <w:rsid w:val="002437A2"/>
    <w:rsid w:val="0024464B"/>
    <w:rsid w:val="00246963"/>
    <w:rsid w:val="00246F20"/>
    <w:rsid w:val="00251997"/>
    <w:rsid w:val="00251AE8"/>
    <w:rsid w:val="0025305D"/>
    <w:rsid w:val="002621B7"/>
    <w:rsid w:val="00262D8A"/>
    <w:rsid w:val="002669E5"/>
    <w:rsid w:val="00267772"/>
    <w:rsid w:val="00267BB6"/>
    <w:rsid w:val="00270E1F"/>
    <w:rsid w:val="002719AF"/>
    <w:rsid w:val="002734BF"/>
    <w:rsid w:val="002743B5"/>
    <w:rsid w:val="00274F87"/>
    <w:rsid w:val="002804C9"/>
    <w:rsid w:val="00280D35"/>
    <w:rsid w:val="00282B69"/>
    <w:rsid w:val="00284C6B"/>
    <w:rsid w:val="00286F84"/>
    <w:rsid w:val="002912E8"/>
    <w:rsid w:val="002915ED"/>
    <w:rsid w:val="00292492"/>
    <w:rsid w:val="002937DF"/>
    <w:rsid w:val="00295342"/>
    <w:rsid w:val="00296E40"/>
    <w:rsid w:val="002A09C3"/>
    <w:rsid w:val="002A2391"/>
    <w:rsid w:val="002A295D"/>
    <w:rsid w:val="002A41AE"/>
    <w:rsid w:val="002A453C"/>
    <w:rsid w:val="002A4B69"/>
    <w:rsid w:val="002A54A3"/>
    <w:rsid w:val="002A6B07"/>
    <w:rsid w:val="002A71CD"/>
    <w:rsid w:val="002B37D2"/>
    <w:rsid w:val="002B4263"/>
    <w:rsid w:val="002B5DA8"/>
    <w:rsid w:val="002B742B"/>
    <w:rsid w:val="002C189E"/>
    <w:rsid w:val="002C492C"/>
    <w:rsid w:val="002C57E9"/>
    <w:rsid w:val="002C75FA"/>
    <w:rsid w:val="002D065C"/>
    <w:rsid w:val="002D12B0"/>
    <w:rsid w:val="002D1C24"/>
    <w:rsid w:val="002D1CDF"/>
    <w:rsid w:val="002D2829"/>
    <w:rsid w:val="002D2AED"/>
    <w:rsid w:val="002D2E8A"/>
    <w:rsid w:val="002D4283"/>
    <w:rsid w:val="002D4758"/>
    <w:rsid w:val="002D719A"/>
    <w:rsid w:val="002D74FC"/>
    <w:rsid w:val="002E0BC2"/>
    <w:rsid w:val="002E20CC"/>
    <w:rsid w:val="002E2C55"/>
    <w:rsid w:val="002E2E29"/>
    <w:rsid w:val="002E3299"/>
    <w:rsid w:val="002F0062"/>
    <w:rsid w:val="002F038E"/>
    <w:rsid w:val="002F0423"/>
    <w:rsid w:val="002F378C"/>
    <w:rsid w:val="002F4164"/>
    <w:rsid w:val="002F5325"/>
    <w:rsid w:val="002F658A"/>
    <w:rsid w:val="002F6A3B"/>
    <w:rsid w:val="002F7A0D"/>
    <w:rsid w:val="003002A3"/>
    <w:rsid w:val="0030432C"/>
    <w:rsid w:val="003060E4"/>
    <w:rsid w:val="00307645"/>
    <w:rsid w:val="0031055B"/>
    <w:rsid w:val="003108B9"/>
    <w:rsid w:val="0031195F"/>
    <w:rsid w:val="00314C02"/>
    <w:rsid w:val="00317CD6"/>
    <w:rsid w:val="00320C48"/>
    <w:rsid w:val="0032206F"/>
    <w:rsid w:val="003242C2"/>
    <w:rsid w:val="00324BE1"/>
    <w:rsid w:val="003267D3"/>
    <w:rsid w:val="00331115"/>
    <w:rsid w:val="00333210"/>
    <w:rsid w:val="00333DBA"/>
    <w:rsid w:val="00341397"/>
    <w:rsid w:val="003416B3"/>
    <w:rsid w:val="00343B0A"/>
    <w:rsid w:val="00344666"/>
    <w:rsid w:val="00347D82"/>
    <w:rsid w:val="00350009"/>
    <w:rsid w:val="00350FC7"/>
    <w:rsid w:val="00351A50"/>
    <w:rsid w:val="003538DA"/>
    <w:rsid w:val="003554C2"/>
    <w:rsid w:val="0035727B"/>
    <w:rsid w:val="003601AD"/>
    <w:rsid w:val="00360480"/>
    <w:rsid w:val="0036167B"/>
    <w:rsid w:val="00362FAE"/>
    <w:rsid w:val="00372DC7"/>
    <w:rsid w:val="00374273"/>
    <w:rsid w:val="0037587B"/>
    <w:rsid w:val="00375D84"/>
    <w:rsid w:val="00377E48"/>
    <w:rsid w:val="00381730"/>
    <w:rsid w:val="00381DEB"/>
    <w:rsid w:val="003822C0"/>
    <w:rsid w:val="003831AD"/>
    <w:rsid w:val="00384FE9"/>
    <w:rsid w:val="00385316"/>
    <w:rsid w:val="0038595A"/>
    <w:rsid w:val="00390C5E"/>
    <w:rsid w:val="00391374"/>
    <w:rsid w:val="00391796"/>
    <w:rsid w:val="003935B5"/>
    <w:rsid w:val="00395E75"/>
    <w:rsid w:val="00395F5E"/>
    <w:rsid w:val="0039727C"/>
    <w:rsid w:val="003A1A47"/>
    <w:rsid w:val="003A2858"/>
    <w:rsid w:val="003A3828"/>
    <w:rsid w:val="003A3EAE"/>
    <w:rsid w:val="003A48FA"/>
    <w:rsid w:val="003A49C4"/>
    <w:rsid w:val="003A4E27"/>
    <w:rsid w:val="003A4FB9"/>
    <w:rsid w:val="003A67A4"/>
    <w:rsid w:val="003A68F8"/>
    <w:rsid w:val="003B0041"/>
    <w:rsid w:val="003B03CE"/>
    <w:rsid w:val="003B44B0"/>
    <w:rsid w:val="003B7094"/>
    <w:rsid w:val="003C207E"/>
    <w:rsid w:val="003C6A7A"/>
    <w:rsid w:val="003C775A"/>
    <w:rsid w:val="003D0042"/>
    <w:rsid w:val="003D1868"/>
    <w:rsid w:val="003D19FE"/>
    <w:rsid w:val="003D1F7F"/>
    <w:rsid w:val="003D2573"/>
    <w:rsid w:val="003D464F"/>
    <w:rsid w:val="003D5B27"/>
    <w:rsid w:val="003D5EF8"/>
    <w:rsid w:val="003D6367"/>
    <w:rsid w:val="003D696E"/>
    <w:rsid w:val="003E019C"/>
    <w:rsid w:val="003E0213"/>
    <w:rsid w:val="003E34FD"/>
    <w:rsid w:val="003E38F3"/>
    <w:rsid w:val="003E405A"/>
    <w:rsid w:val="003E4A1E"/>
    <w:rsid w:val="003E73D3"/>
    <w:rsid w:val="003F7BBB"/>
    <w:rsid w:val="00400CDD"/>
    <w:rsid w:val="004010EE"/>
    <w:rsid w:val="0040325B"/>
    <w:rsid w:val="00405BAE"/>
    <w:rsid w:val="004114EC"/>
    <w:rsid w:val="00412A3E"/>
    <w:rsid w:val="00415D5C"/>
    <w:rsid w:val="00416128"/>
    <w:rsid w:val="00421A4E"/>
    <w:rsid w:val="00425157"/>
    <w:rsid w:val="00426A7B"/>
    <w:rsid w:val="00426AC8"/>
    <w:rsid w:val="00426AE9"/>
    <w:rsid w:val="00426E7B"/>
    <w:rsid w:val="004276CB"/>
    <w:rsid w:val="00427D87"/>
    <w:rsid w:val="00430296"/>
    <w:rsid w:val="0043173D"/>
    <w:rsid w:val="00432818"/>
    <w:rsid w:val="00433782"/>
    <w:rsid w:val="00433A44"/>
    <w:rsid w:val="00434109"/>
    <w:rsid w:val="0043421B"/>
    <w:rsid w:val="0043595C"/>
    <w:rsid w:val="00437D19"/>
    <w:rsid w:val="00437E76"/>
    <w:rsid w:val="004479F6"/>
    <w:rsid w:val="00455959"/>
    <w:rsid w:val="0045639B"/>
    <w:rsid w:val="00456C73"/>
    <w:rsid w:val="00460056"/>
    <w:rsid w:val="00463E30"/>
    <w:rsid w:val="004645D4"/>
    <w:rsid w:val="00466607"/>
    <w:rsid w:val="0047240B"/>
    <w:rsid w:val="00472E26"/>
    <w:rsid w:val="0047313D"/>
    <w:rsid w:val="00475295"/>
    <w:rsid w:val="00475615"/>
    <w:rsid w:val="00481326"/>
    <w:rsid w:val="00483F2C"/>
    <w:rsid w:val="00487059"/>
    <w:rsid w:val="0049056A"/>
    <w:rsid w:val="00491F19"/>
    <w:rsid w:val="0049299B"/>
    <w:rsid w:val="00493D49"/>
    <w:rsid w:val="00493DA1"/>
    <w:rsid w:val="00493F39"/>
    <w:rsid w:val="004957BD"/>
    <w:rsid w:val="004966E0"/>
    <w:rsid w:val="004A14F7"/>
    <w:rsid w:val="004A21C7"/>
    <w:rsid w:val="004A3FCE"/>
    <w:rsid w:val="004A48BF"/>
    <w:rsid w:val="004A4BE4"/>
    <w:rsid w:val="004A5B72"/>
    <w:rsid w:val="004B4C39"/>
    <w:rsid w:val="004B4DAA"/>
    <w:rsid w:val="004B6F0D"/>
    <w:rsid w:val="004C16FF"/>
    <w:rsid w:val="004C340A"/>
    <w:rsid w:val="004C5A78"/>
    <w:rsid w:val="004C7E04"/>
    <w:rsid w:val="004C7FEA"/>
    <w:rsid w:val="004D272E"/>
    <w:rsid w:val="004D2991"/>
    <w:rsid w:val="004E14DC"/>
    <w:rsid w:val="004E2E1B"/>
    <w:rsid w:val="004E505B"/>
    <w:rsid w:val="004E79A0"/>
    <w:rsid w:val="004E7E9B"/>
    <w:rsid w:val="004F02D0"/>
    <w:rsid w:val="004F1144"/>
    <w:rsid w:val="004F2428"/>
    <w:rsid w:val="004F49D1"/>
    <w:rsid w:val="004F4F21"/>
    <w:rsid w:val="004F51A2"/>
    <w:rsid w:val="004F5F9E"/>
    <w:rsid w:val="004F6952"/>
    <w:rsid w:val="004F71AA"/>
    <w:rsid w:val="004F753B"/>
    <w:rsid w:val="0050131E"/>
    <w:rsid w:val="00501781"/>
    <w:rsid w:val="0050216C"/>
    <w:rsid w:val="00502D35"/>
    <w:rsid w:val="00503B26"/>
    <w:rsid w:val="00506CA9"/>
    <w:rsid w:val="00506D5F"/>
    <w:rsid w:val="00510223"/>
    <w:rsid w:val="0051297E"/>
    <w:rsid w:val="00513212"/>
    <w:rsid w:val="0051347B"/>
    <w:rsid w:val="00513C2C"/>
    <w:rsid w:val="00513E3F"/>
    <w:rsid w:val="005142A3"/>
    <w:rsid w:val="00517BA0"/>
    <w:rsid w:val="00520980"/>
    <w:rsid w:val="00522618"/>
    <w:rsid w:val="00522B74"/>
    <w:rsid w:val="00524F97"/>
    <w:rsid w:val="00526301"/>
    <w:rsid w:val="005300C6"/>
    <w:rsid w:val="0053052C"/>
    <w:rsid w:val="00532C1F"/>
    <w:rsid w:val="00532DB4"/>
    <w:rsid w:val="00532DE4"/>
    <w:rsid w:val="00536C7D"/>
    <w:rsid w:val="005372A9"/>
    <w:rsid w:val="0054030E"/>
    <w:rsid w:val="00542521"/>
    <w:rsid w:val="00546658"/>
    <w:rsid w:val="00546F1C"/>
    <w:rsid w:val="00550F9F"/>
    <w:rsid w:val="00557166"/>
    <w:rsid w:val="00560D7B"/>
    <w:rsid w:val="0056115B"/>
    <w:rsid w:val="00562748"/>
    <w:rsid w:val="0057279B"/>
    <w:rsid w:val="0057593A"/>
    <w:rsid w:val="00580594"/>
    <w:rsid w:val="005817B4"/>
    <w:rsid w:val="0058352D"/>
    <w:rsid w:val="00586161"/>
    <w:rsid w:val="00586344"/>
    <w:rsid w:val="00586D8C"/>
    <w:rsid w:val="00591B8F"/>
    <w:rsid w:val="005931C7"/>
    <w:rsid w:val="00594B7C"/>
    <w:rsid w:val="00595E8B"/>
    <w:rsid w:val="00596191"/>
    <w:rsid w:val="00596328"/>
    <w:rsid w:val="00596E49"/>
    <w:rsid w:val="005A10BC"/>
    <w:rsid w:val="005A1525"/>
    <w:rsid w:val="005A1CB5"/>
    <w:rsid w:val="005A2901"/>
    <w:rsid w:val="005A5E62"/>
    <w:rsid w:val="005B15D5"/>
    <w:rsid w:val="005B38C2"/>
    <w:rsid w:val="005B4F79"/>
    <w:rsid w:val="005B6FBF"/>
    <w:rsid w:val="005B79F1"/>
    <w:rsid w:val="005B7F49"/>
    <w:rsid w:val="005C1C87"/>
    <w:rsid w:val="005C28A5"/>
    <w:rsid w:val="005C2D80"/>
    <w:rsid w:val="005C305D"/>
    <w:rsid w:val="005C38C2"/>
    <w:rsid w:val="005C442C"/>
    <w:rsid w:val="005C68C1"/>
    <w:rsid w:val="005D6549"/>
    <w:rsid w:val="005D6C3E"/>
    <w:rsid w:val="005D713F"/>
    <w:rsid w:val="005D7A3F"/>
    <w:rsid w:val="005E0EC6"/>
    <w:rsid w:val="005E11EB"/>
    <w:rsid w:val="005E300A"/>
    <w:rsid w:val="005E3E45"/>
    <w:rsid w:val="005E5421"/>
    <w:rsid w:val="005E636A"/>
    <w:rsid w:val="005E7C65"/>
    <w:rsid w:val="005F187C"/>
    <w:rsid w:val="005F42BF"/>
    <w:rsid w:val="005F5986"/>
    <w:rsid w:val="005F5B9C"/>
    <w:rsid w:val="005F612D"/>
    <w:rsid w:val="005F64AD"/>
    <w:rsid w:val="005F64F0"/>
    <w:rsid w:val="005F67AB"/>
    <w:rsid w:val="00601787"/>
    <w:rsid w:val="0060230E"/>
    <w:rsid w:val="00604C27"/>
    <w:rsid w:val="00606033"/>
    <w:rsid w:val="00607C52"/>
    <w:rsid w:val="00610F41"/>
    <w:rsid w:val="00611194"/>
    <w:rsid w:val="006113EC"/>
    <w:rsid w:val="00611B52"/>
    <w:rsid w:val="006122C4"/>
    <w:rsid w:val="00612E5D"/>
    <w:rsid w:val="0061363D"/>
    <w:rsid w:val="00622C4F"/>
    <w:rsid w:val="00623020"/>
    <w:rsid w:val="0062509D"/>
    <w:rsid w:val="00626569"/>
    <w:rsid w:val="00630189"/>
    <w:rsid w:val="00630838"/>
    <w:rsid w:val="00631AC9"/>
    <w:rsid w:val="006320FE"/>
    <w:rsid w:val="006326E0"/>
    <w:rsid w:val="00632773"/>
    <w:rsid w:val="00633089"/>
    <w:rsid w:val="006339CC"/>
    <w:rsid w:val="006346CB"/>
    <w:rsid w:val="006351CA"/>
    <w:rsid w:val="00635CC7"/>
    <w:rsid w:val="00637259"/>
    <w:rsid w:val="00640276"/>
    <w:rsid w:val="00645280"/>
    <w:rsid w:val="00645C2C"/>
    <w:rsid w:val="00646173"/>
    <w:rsid w:val="0064675C"/>
    <w:rsid w:val="00646A59"/>
    <w:rsid w:val="00646AA0"/>
    <w:rsid w:val="00646B80"/>
    <w:rsid w:val="00652AAA"/>
    <w:rsid w:val="00653BB8"/>
    <w:rsid w:val="00654B14"/>
    <w:rsid w:val="00655255"/>
    <w:rsid w:val="00656A71"/>
    <w:rsid w:val="006573B0"/>
    <w:rsid w:val="00664A06"/>
    <w:rsid w:val="00664F7E"/>
    <w:rsid w:val="00664FC9"/>
    <w:rsid w:val="0066537C"/>
    <w:rsid w:val="00665849"/>
    <w:rsid w:val="00665CE6"/>
    <w:rsid w:val="00667C10"/>
    <w:rsid w:val="00671DBE"/>
    <w:rsid w:val="006753EE"/>
    <w:rsid w:val="00677B74"/>
    <w:rsid w:val="00677BFA"/>
    <w:rsid w:val="00680550"/>
    <w:rsid w:val="006824B6"/>
    <w:rsid w:val="00682E5D"/>
    <w:rsid w:val="0068491E"/>
    <w:rsid w:val="006849D0"/>
    <w:rsid w:val="00685552"/>
    <w:rsid w:val="006916ED"/>
    <w:rsid w:val="006959CE"/>
    <w:rsid w:val="006975F8"/>
    <w:rsid w:val="006A0525"/>
    <w:rsid w:val="006A066C"/>
    <w:rsid w:val="006A1AAE"/>
    <w:rsid w:val="006A4894"/>
    <w:rsid w:val="006B199C"/>
    <w:rsid w:val="006B3339"/>
    <w:rsid w:val="006B4670"/>
    <w:rsid w:val="006B53D9"/>
    <w:rsid w:val="006C2B03"/>
    <w:rsid w:val="006C3F85"/>
    <w:rsid w:val="006C5001"/>
    <w:rsid w:val="006C67E2"/>
    <w:rsid w:val="006D6CD2"/>
    <w:rsid w:val="006D7834"/>
    <w:rsid w:val="006E135A"/>
    <w:rsid w:val="006E7B8F"/>
    <w:rsid w:val="006E7D4C"/>
    <w:rsid w:val="006F3626"/>
    <w:rsid w:val="006F3641"/>
    <w:rsid w:val="006F5F7E"/>
    <w:rsid w:val="006F5FDA"/>
    <w:rsid w:val="006F650A"/>
    <w:rsid w:val="006F7EE1"/>
    <w:rsid w:val="00701C51"/>
    <w:rsid w:val="0070200D"/>
    <w:rsid w:val="00702035"/>
    <w:rsid w:val="00704A69"/>
    <w:rsid w:val="007056D9"/>
    <w:rsid w:val="00705BAF"/>
    <w:rsid w:val="00705D71"/>
    <w:rsid w:val="00706260"/>
    <w:rsid w:val="00706E3E"/>
    <w:rsid w:val="00707966"/>
    <w:rsid w:val="00707DF0"/>
    <w:rsid w:val="007124EF"/>
    <w:rsid w:val="007137AC"/>
    <w:rsid w:val="007234BB"/>
    <w:rsid w:val="00724B59"/>
    <w:rsid w:val="00724C8A"/>
    <w:rsid w:val="00727517"/>
    <w:rsid w:val="00727DF4"/>
    <w:rsid w:val="00727FB1"/>
    <w:rsid w:val="00737BF0"/>
    <w:rsid w:val="007407B6"/>
    <w:rsid w:val="0074169E"/>
    <w:rsid w:val="007447EE"/>
    <w:rsid w:val="00746F51"/>
    <w:rsid w:val="007478EA"/>
    <w:rsid w:val="00750AC9"/>
    <w:rsid w:val="00750FDC"/>
    <w:rsid w:val="00751AD1"/>
    <w:rsid w:val="00752089"/>
    <w:rsid w:val="00752989"/>
    <w:rsid w:val="007534E0"/>
    <w:rsid w:val="007547EF"/>
    <w:rsid w:val="00754870"/>
    <w:rsid w:val="00757023"/>
    <w:rsid w:val="007604D0"/>
    <w:rsid w:val="00760BD5"/>
    <w:rsid w:val="007615F1"/>
    <w:rsid w:val="007622AC"/>
    <w:rsid w:val="00762924"/>
    <w:rsid w:val="00762C03"/>
    <w:rsid w:val="007642B0"/>
    <w:rsid w:val="00765B19"/>
    <w:rsid w:val="00770E40"/>
    <w:rsid w:val="007723D5"/>
    <w:rsid w:val="00772706"/>
    <w:rsid w:val="00773E06"/>
    <w:rsid w:val="00774E48"/>
    <w:rsid w:val="00775730"/>
    <w:rsid w:val="00775CBD"/>
    <w:rsid w:val="0077638D"/>
    <w:rsid w:val="007770D5"/>
    <w:rsid w:val="00777B1D"/>
    <w:rsid w:val="00777FD7"/>
    <w:rsid w:val="00780129"/>
    <w:rsid w:val="00781952"/>
    <w:rsid w:val="00782303"/>
    <w:rsid w:val="00782334"/>
    <w:rsid w:val="00785623"/>
    <w:rsid w:val="00785AB8"/>
    <w:rsid w:val="007870E6"/>
    <w:rsid w:val="007875E9"/>
    <w:rsid w:val="0079029F"/>
    <w:rsid w:val="00793242"/>
    <w:rsid w:val="007970E0"/>
    <w:rsid w:val="007978C4"/>
    <w:rsid w:val="00797C84"/>
    <w:rsid w:val="00797DED"/>
    <w:rsid w:val="007A2131"/>
    <w:rsid w:val="007A3474"/>
    <w:rsid w:val="007A664C"/>
    <w:rsid w:val="007B03F6"/>
    <w:rsid w:val="007B162A"/>
    <w:rsid w:val="007B49EC"/>
    <w:rsid w:val="007B5927"/>
    <w:rsid w:val="007B7FDB"/>
    <w:rsid w:val="007C119A"/>
    <w:rsid w:val="007C16B3"/>
    <w:rsid w:val="007C2451"/>
    <w:rsid w:val="007C264A"/>
    <w:rsid w:val="007C393B"/>
    <w:rsid w:val="007C7CA2"/>
    <w:rsid w:val="007D0B73"/>
    <w:rsid w:val="007D1A67"/>
    <w:rsid w:val="007D47A6"/>
    <w:rsid w:val="007D4FCF"/>
    <w:rsid w:val="007D7606"/>
    <w:rsid w:val="007E1814"/>
    <w:rsid w:val="007E1E8B"/>
    <w:rsid w:val="007E293C"/>
    <w:rsid w:val="007E2C76"/>
    <w:rsid w:val="007E6EB9"/>
    <w:rsid w:val="007F049B"/>
    <w:rsid w:val="007F1EB5"/>
    <w:rsid w:val="007F3B2F"/>
    <w:rsid w:val="007F5760"/>
    <w:rsid w:val="007F7A20"/>
    <w:rsid w:val="008044AC"/>
    <w:rsid w:val="008056C7"/>
    <w:rsid w:val="00806CD6"/>
    <w:rsid w:val="008126CB"/>
    <w:rsid w:val="00812820"/>
    <w:rsid w:val="00812E29"/>
    <w:rsid w:val="00814831"/>
    <w:rsid w:val="0081531C"/>
    <w:rsid w:val="0082369A"/>
    <w:rsid w:val="00826670"/>
    <w:rsid w:val="00832630"/>
    <w:rsid w:val="00832AD7"/>
    <w:rsid w:val="0083403C"/>
    <w:rsid w:val="008368C3"/>
    <w:rsid w:val="008426D2"/>
    <w:rsid w:val="0084335E"/>
    <w:rsid w:val="00843680"/>
    <w:rsid w:val="0085055E"/>
    <w:rsid w:val="00851286"/>
    <w:rsid w:val="0085135F"/>
    <w:rsid w:val="0085150F"/>
    <w:rsid w:val="00851BED"/>
    <w:rsid w:val="00852753"/>
    <w:rsid w:val="00852B04"/>
    <w:rsid w:val="00853667"/>
    <w:rsid w:val="00853FCA"/>
    <w:rsid w:val="00854A8D"/>
    <w:rsid w:val="008553E7"/>
    <w:rsid w:val="00857C7A"/>
    <w:rsid w:val="008602D9"/>
    <w:rsid w:val="008603BC"/>
    <w:rsid w:val="00861405"/>
    <w:rsid w:val="0086672E"/>
    <w:rsid w:val="00867B54"/>
    <w:rsid w:val="00871CB2"/>
    <w:rsid w:val="00871E7A"/>
    <w:rsid w:val="00872D34"/>
    <w:rsid w:val="00873455"/>
    <w:rsid w:val="00874FE8"/>
    <w:rsid w:val="00875CB8"/>
    <w:rsid w:val="00880FC8"/>
    <w:rsid w:val="00886F22"/>
    <w:rsid w:val="00887B6F"/>
    <w:rsid w:val="00890666"/>
    <w:rsid w:val="008A014A"/>
    <w:rsid w:val="008A16BA"/>
    <w:rsid w:val="008A2C34"/>
    <w:rsid w:val="008A3089"/>
    <w:rsid w:val="008A37B4"/>
    <w:rsid w:val="008B0B48"/>
    <w:rsid w:val="008B34C7"/>
    <w:rsid w:val="008B51A5"/>
    <w:rsid w:val="008B5248"/>
    <w:rsid w:val="008B6C4B"/>
    <w:rsid w:val="008C04A9"/>
    <w:rsid w:val="008C06B7"/>
    <w:rsid w:val="008C0907"/>
    <w:rsid w:val="008C375B"/>
    <w:rsid w:val="008C70E9"/>
    <w:rsid w:val="008C76D9"/>
    <w:rsid w:val="008C77D6"/>
    <w:rsid w:val="008D1C21"/>
    <w:rsid w:val="008D1D20"/>
    <w:rsid w:val="008D434E"/>
    <w:rsid w:val="008D77FB"/>
    <w:rsid w:val="008E06A4"/>
    <w:rsid w:val="008E08CE"/>
    <w:rsid w:val="008E1311"/>
    <w:rsid w:val="008E1F0C"/>
    <w:rsid w:val="008E3211"/>
    <w:rsid w:val="008E5748"/>
    <w:rsid w:val="008E6508"/>
    <w:rsid w:val="008E6BAD"/>
    <w:rsid w:val="008E7CDC"/>
    <w:rsid w:val="008F4578"/>
    <w:rsid w:val="008F5F7E"/>
    <w:rsid w:val="008F747D"/>
    <w:rsid w:val="00900892"/>
    <w:rsid w:val="00901078"/>
    <w:rsid w:val="00903A6C"/>
    <w:rsid w:val="00903DD9"/>
    <w:rsid w:val="00904585"/>
    <w:rsid w:val="00904636"/>
    <w:rsid w:val="0090527D"/>
    <w:rsid w:val="00906427"/>
    <w:rsid w:val="00906C32"/>
    <w:rsid w:val="0091047F"/>
    <w:rsid w:val="00910B1D"/>
    <w:rsid w:val="00911D07"/>
    <w:rsid w:val="009125FC"/>
    <w:rsid w:val="009139BC"/>
    <w:rsid w:val="009140C0"/>
    <w:rsid w:val="0091445D"/>
    <w:rsid w:val="00917CFA"/>
    <w:rsid w:val="00920D0E"/>
    <w:rsid w:val="0092428B"/>
    <w:rsid w:val="009247D1"/>
    <w:rsid w:val="0092558A"/>
    <w:rsid w:val="0093182A"/>
    <w:rsid w:val="009318C4"/>
    <w:rsid w:val="00932A20"/>
    <w:rsid w:val="00937138"/>
    <w:rsid w:val="0094256A"/>
    <w:rsid w:val="00944AD0"/>
    <w:rsid w:val="0094665A"/>
    <w:rsid w:val="00947F1B"/>
    <w:rsid w:val="00952A5E"/>
    <w:rsid w:val="009549E0"/>
    <w:rsid w:val="0095733E"/>
    <w:rsid w:val="00960725"/>
    <w:rsid w:val="00961FB9"/>
    <w:rsid w:val="00963BEE"/>
    <w:rsid w:val="009644E8"/>
    <w:rsid w:val="00964BE0"/>
    <w:rsid w:val="00965324"/>
    <w:rsid w:val="009655EE"/>
    <w:rsid w:val="00966635"/>
    <w:rsid w:val="00972790"/>
    <w:rsid w:val="0098070F"/>
    <w:rsid w:val="00980DC1"/>
    <w:rsid w:val="009833CC"/>
    <w:rsid w:val="00984D8F"/>
    <w:rsid w:val="009859C7"/>
    <w:rsid w:val="0098617F"/>
    <w:rsid w:val="009871BD"/>
    <w:rsid w:val="00987F11"/>
    <w:rsid w:val="00987F4E"/>
    <w:rsid w:val="00992AF2"/>
    <w:rsid w:val="0099384A"/>
    <w:rsid w:val="00993857"/>
    <w:rsid w:val="00993A5B"/>
    <w:rsid w:val="009967AE"/>
    <w:rsid w:val="009A18DA"/>
    <w:rsid w:val="009A4264"/>
    <w:rsid w:val="009A5D99"/>
    <w:rsid w:val="009B066F"/>
    <w:rsid w:val="009B157B"/>
    <w:rsid w:val="009B236F"/>
    <w:rsid w:val="009B4F47"/>
    <w:rsid w:val="009B5377"/>
    <w:rsid w:val="009B61F4"/>
    <w:rsid w:val="009B70F4"/>
    <w:rsid w:val="009B7371"/>
    <w:rsid w:val="009B74A7"/>
    <w:rsid w:val="009B771C"/>
    <w:rsid w:val="009B7914"/>
    <w:rsid w:val="009B7BDA"/>
    <w:rsid w:val="009C183F"/>
    <w:rsid w:val="009C1F51"/>
    <w:rsid w:val="009C2302"/>
    <w:rsid w:val="009C301E"/>
    <w:rsid w:val="009C36F9"/>
    <w:rsid w:val="009C49FF"/>
    <w:rsid w:val="009C4F44"/>
    <w:rsid w:val="009D044F"/>
    <w:rsid w:val="009D06DF"/>
    <w:rsid w:val="009D0863"/>
    <w:rsid w:val="009D115B"/>
    <w:rsid w:val="009D1715"/>
    <w:rsid w:val="009D1F35"/>
    <w:rsid w:val="009D1F86"/>
    <w:rsid w:val="009D67EB"/>
    <w:rsid w:val="009E0904"/>
    <w:rsid w:val="009E1E20"/>
    <w:rsid w:val="009E246D"/>
    <w:rsid w:val="009E473B"/>
    <w:rsid w:val="009E4E96"/>
    <w:rsid w:val="009F07E1"/>
    <w:rsid w:val="009F0E75"/>
    <w:rsid w:val="009F1E4A"/>
    <w:rsid w:val="009F201C"/>
    <w:rsid w:val="009F24EB"/>
    <w:rsid w:val="00A00C30"/>
    <w:rsid w:val="00A00CF2"/>
    <w:rsid w:val="00A012F9"/>
    <w:rsid w:val="00A05DEE"/>
    <w:rsid w:val="00A068C1"/>
    <w:rsid w:val="00A1335E"/>
    <w:rsid w:val="00A139B4"/>
    <w:rsid w:val="00A13DEE"/>
    <w:rsid w:val="00A154C0"/>
    <w:rsid w:val="00A157D6"/>
    <w:rsid w:val="00A15E38"/>
    <w:rsid w:val="00A15E78"/>
    <w:rsid w:val="00A16A7D"/>
    <w:rsid w:val="00A205CB"/>
    <w:rsid w:val="00A211AF"/>
    <w:rsid w:val="00A215AC"/>
    <w:rsid w:val="00A22438"/>
    <w:rsid w:val="00A226F9"/>
    <w:rsid w:val="00A25D0B"/>
    <w:rsid w:val="00A308F0"/>
    <w:rsid w:val="00A318B7"/>
    <w:rsid w:val="00A331DD"/>
    <w:rsid w:val="00A36292"/>
    <w:rsid w:val="00A36947"/>
    <w:rsid w:val="00A36FA7"/>
    <w:rsid w:val="00A37C9A"/>
    <w:rsid w:val="00A37CF6"/>
    <w:rsid w:val="00A421E3"/>
    <w:rsid w:val="00A44CC9"/>
    <w:rsid w:val="00A45766"/>
    <w:rsid w:val="00A503E2"/>
    <w:rsid w:val="00A54791"/>
    <w:rsid w:val="00A547C1"/>
    <w:rsid w:val="00A5520F"/>
    <w:rsid w:val="00A55225"/>
    <w:rsid w:val="00A563FF"/>
    <w:rsid w:val="00A571FF"/>
    <w:rsid w:val="00A62A63"/>
    <w:rsid w:val="00A64862"/>
    <w:rsid w:val="00A656C0"/>
    <w:rsid w:val="00A67300"/>
    <w:rsid w:val="00A67D25"/>
    <w:rsid w:val="00A7030F"/>
    <w:rsid w:val="00A71790"/>
    <w:rsid w:val="00A71EA8"/>
    <w:rsid w:val="00A74859"/>
    <w:rsid w:val="00A74F6B"/>
    <w:rsid w:val="00A753BE"/>
    <w:rsid w:val="00A7579C"/>
    <w:rsid w:val="00A75C74"/>
    <w:rsid w:val="00A7744B"/>
    <w:rsid w:val="00A80B72"/>
    <w:rsid w:val="00A837E4"/>
    <w:rsid w:val="00A85931"/>
    <w:rsid w:val="00A85F0B"/>
    <w:rsid w:val="00A93740"/>
    <w:rsid w:val="00A95524"/>
    <w:rsid w:val="00A96447"/>
    <w:rsid w:val="00A97F10"/>
    <w:rsid w:val="00AA05BD"/>
    <w:rsid w:val="00AA32EF"/>
    <w:rsid w:val="00AA5C55"/>
    <w:rsid w:val="00AA62AE"/>
    <w:rsid w:val="00AA6661"/>
    <w:rsid w:val="00AA6830"/>
    <w:rsid w:val="00AA78CD"/>
    <w:rsid w:val="00AB03DD"/>
    <w:rsid w:val="00AB06A7"/>
    <w:rsid w:val="00AB1138"/>
    <w:rsid w:val="00AB2A38"/>
    <w:rsid w:val="00AB3424"/>
    <w:rsid w:val="00AB3778"/>
    <w:rsid w:val="00AB3913"/>
    <w:rsid w:val="00AB4D08"/>
    <w:rsid w:val="00AB57EC"/>
    <w:rsid w:val="00AB6CD7"/>
    <w:rsid w:val="00AB77E1"/>
    <w:rsid w:val="00AC0562"/>
    <w:rsid w:val="00AC21BA"/>
    <w:rsid w:val="00AC5094"/>
    <w:rsid w:val="00AC789E"/>
    <w:rsid w:val="00AD04A7"/>
    <w:rsid w:val="00AD1458"/>
    <w:rsid w:val="00AD20F1"/>
    <w:rsid w:val="00AD2932"/>
    <w:rsid w:val="00AD6623"/>
    <w:rsid w:val="00AE1DB0"/>
    <w:rsid w:val="00AE1F49"/>
    <w:rsid w:val="00AE24F5"/>
    <w:rsid w:val="00AE44A4"/>
    <w:rsid w:val="00AE5C9A"/>
    <w:rsid w:val="00AE6FE1"/>
    <w:rsid w:val="00AE7CCF"/>
    <w:rsid w:val="00AF6CC6"/>
    <w:rsid w:val="00B000BD"/>
    <w:rsid w:val="00B02AF7"/>
    <w:rsid w:val="00B03253"/>
    <w:rsid w:val="00B03661"/>
    <w:rsid w:val="00B06CE6"/>
    <w:rsid w:val="00B07BCE"/>
    <w:rsid w:val="00B108C1"/>
    <w:rsid w:val="00B1191F"/>
    <w:rsid w:val="00B1443D"/>
    <w:rsid w:val="00B15100"/>
    <w:rsid w:val="00B20E00"/>
    <w:rsid w:val="00B216C7"/>
    <w:rsid w:val="00B21D49"/>
    <w:rsid w:val="00B21E78"/>
    <w:rsid w:val="00B25CB8"/>
    <w:rsid w:val="00B264EB"/>
    <w:rsid w:val="00B316F9"/>
    <w:rsid w:val="00B327A0"/>
    <w:rsid w:val="00B33B81"/>
    <w:rsid w:val="00B401CD"/>
    <w:rsid w:val="00B40F51"/>
    <w:rsid w:val="00B40FA7"/>
    <w:rsid w:val="00B42D9D"/>
    <w:rsid w:val="00B43EA1"/>
    <w:rsid w:val="00B45E6A"/>
    <w:rsid w:val="00B474F7"/>
    <w:rsid w:val="00B50D2D"/>
    <w:rsid w:val="00B5208C"/>
    <w:rsid w:val="00B525A0"/>
    <w:rsid w:val="00B5461D"/>
    <w:rsid w:val="00B55774"/>
    <w:rsid w:val="00B5641F"/>
    <w:rsid w:val="00B565B7"/>
    <w:rsid w:val="00B5703A"/>
    <w:rsid w:val="00B601E3"/>
    <w:rsid w:val="00B63314"/>
    <w:rsid w:val="00B654A4"/>
    <w:rsid w:val="00B65A67"/>
    <w:rsid w:val="00B67157"/>
    <w:rsid w:val="00B67B6A"/>
    <w:rsid w:val="00B71E3A"/>
    <w:rsid w:val="00B73EDC"/>
    <w:rsid w:val="00B74A3A"/>
    <w:rsid w:val="00B76148"/>
    <w:rsid w:val="00B82416"/>
    <w:rsid w:val="00B8448E"/>
    <w:rsid w:val="00B84554"/>
    <w:rsid w:val="00B84DE5"/>
    <w:rsid w:val="00B86D90"/>
    <w:rsid w:val="00B87203"/>
    <w:rsid w:val="00B90098"/>
    <w:rsid w:val="00B91F50"/>
    <w:rsid w:val="00B9406E"/>
    <w:rsid w:val="00B954E6"/>
    <w:rsid w:val="00B9641B"/>
    <w:rsid w:val="00BA04B5"/>
    <w:rsid w:val="00BA0FEE"/>
    <w:rsid w:val="00BA666C"/>
    <w:rsid w:val="00BA6D83"/>
    <w:rsid w:val="00BA71FA"/>
    <w:rsid w:val="00BA7528"/>
    <w:rsid w:val="00BA78F4"/>
    <w:rsid w:val="00BA7905"/>
    <w:rsid w:val="00BA7C05"/>
    <w:rsid w:val="00BA7E5A"/>
    <w:rsid w:val="00BB09D7"/>
    <w:rsid w:val="00BB2A04"/>
    <w:rsid w:val="00BB36E7"/>
    <w:rsid w:val="00BB68AD"/>
    <w:rsid w:val="00BC07C9"/>
    <w:rsid w:val="00BC0F45"/>
    <w:rsid w:val="00BC3409"/>
    <w:rsid w:val="00BC42F2"/>
    <w:rsid w:val="00BC58BA"/>
    <w:rsid w:val="00BC5A4C"/>
    <w:rsid w:val="00BC6763"/>
    <w:rsid w:val="00BD0BA5"/>
    <w:rsid w:val="00BD3ED3"/>
    <w:rsid w:val="00BD4B96"/>
    <w:rsid w:val="00BD6CFE"/>
    <w:rsid w:val="00BD6F78"/>
    <w:rsid w:val="00BD7E99"/>
    <w:rsid w:val="00BE38CD"/>
    <w:rsid w:val="00BF0253"/>
    <w:rsid w:val="00BF0664"/>
    <w:rsid w:val="00BF11D1"/>
    <w:rsid w:val="00BF293C"/>
    <w:rsid w:val="00BF29AA"/>
    <w:rsid w:val="00BF31B2"/>
    <w:rsid w:val="00BF6D47"/>
    <w:rsid w:val="00C02C89"/>
    <w:rsid w:val="00C02DD8"/>
    <w:rsid w:val="00C0553C"/>
    <w:rsid w:val="00C05751"/>
    <w:rsid w:val="00C14D2B"/>
    <w:rsid w:val="00C164E8"/>
    <w:rsid w:val="00C16690"/>
    <w:rsid w:val="00C1691A"/>
    <w:rsid w:val="00C22C58"/>
    <w:rsid w:val="00C26811"/>
    <w:rsid w:val="00C26A9D"/>
    <w:rsid w:val="00C26B9D"/>
    <w:rsid w:val="00C26D0C"/>
    <w:rsid w:val="00C3215F"/>
    <w:rsid w:val="00C34EBE"/>
    <w:rsid w:val="00C37958"/>
    <w:rsid w:val="00C37B78"/>
    <w:rsid w:val="00C42395"/>
    <w:rsid w:val="00C46C38"/>
    <w:rsid w:val="00C479E3"/>
    <w:rsid w:val="00C53D6D"/>
    <w:rsid w:val="00C547EC"/>
    <w:rsid w:val="00C54C44"/>
    <w:rsid w:val="00C56FE3"/>
    <w:rsid w:val="00C60910"/>
    <w:rsid w:val="00C62650"/>
    <w:rsid w:val="00C62EF9"/>
    <w:rsid w:val="00C63425"/>
    <w:rsid w:val="00C66E63"/>
    <w:rsid w:val="00C67AF1"/>
    <w:rsid w:val="00C71778"/>
    <w:rsid w:val="00C72EE4"/>
    <w:rsid w:val="00C73DBE"/>
    <w:rsid w:val="00C74741"/>
    <w:rsid w:val="00C75DF0"/>
    <w:rsid w:val="00C76440"/>
    <w:rsid w:val="00C81143"/>
    <w:rsid w:val="00C838B8"/>
    <w:rsid w:val="00C838E5"/>
    <w:rsid w:val="00C869D8"/>
    <w:rsid w:val="00C86A37"/>
    <w:rsid w:val="00C87E6B"/>
    <w:rsid w:val="00C9299E"/>
    <w:rsid w:val="00C94902"/>
    <w:rsid w:val="00C951DB"/>
    <w:rsid w:val="00CA15BD"/>
    <w:rsid w:val="00CA1F3D"/>
    <w:rsid w:val="00CA5521"/>
    <w:rsid w:val="00CA5C17"/>
    <w:rsid w:val="00CA6C13"/>
    <w:rsid w:val="00CA6FFC"/>
    <w:rsid w:val="00CB27EA"/>
    <w:rsid w:val="00CB2EC3"/>
    <w:rsid w:val="00CB3672"/>
    <w:rsid w:val="00CB438D"/>
    <w:rsid w:val="00CB48CA"/>
    <w:rsid w:val="00CB5D84"/>
    <w:rsid w:val="00CB5E53"/>
    <w:rsid w:val="00CB6898"/>
    <w:rsid w:val="00CB78A5"/>
    <w:rsid w:val="00CC0630"/>
    <w:rsid w:val="00CC17C6"/>
    <w:rsid w:val="00CC454B"/>
    <w:rsid w:val="00CC5505"/>
    <w:rsid w:val="00CC77C1"/>
    <w:rsid w:val="00CD6BAC"/>
    <w:rsid w:val="00CD6E8E"/>
    <w:rsid w:val="00CE1D72"/>
    <w:rsid w:val="00CE1F1C"/>
    <w:rsid w:val="00CE2D01"/>
    <w:rsid w:val="00CE3454"/>
    <w:rsid w:val="00CE3AC8"/>
    <w:rsid w:val="00CE4979"/>
    <w:rsid w:val="00CE5BEF"/>
    <w:rsid w:val="00CE74F1"/>
    <w:rsid w:val="00CE7E75"/>
    <w:rsid w:val="00CF07FF"/>
    <w:rsid w:val="00CF31E8"/>
    <w:rsid w:val="00CF3E2C"/>
    <w:rsid w:val="00CF42BE"/>
    <w:rsid w:val="00D0059A"/>
    <w:rsid w:val="00D013BA"/>
    <w:rsid w:val="00D013C4"/>
    <w:rsid w:val="00D01AE1"/>
    <w:rsid w:val="00D02BFA"/>
    <w:rsid w:val="00D05214"/>
    <w:rsid w:val="00D07B99"/>
    <w:rsid w:val="00D114B8"/>
    <w:rsid w:val="00D116F5"/>
    <w:rsid w:val="00D13985"/>
    <w:rsid w:val="00D169CE"/>
    <w:rsid w:val="00D1798B"/>
    <w:rsid w:val="00D224B1"/>
    <w:rsid w:val="00D27182"/>
    <w:rsid w:val="00D31FB7"/>
    <w:rsid w:val="00D32809"/>
    <w:rsid w:val="00D332D1"/>
    <w:rsid w:val="00D33F8A"/>
    <w:rsid w:val="00D35770"/>
    <w:rsid w:val="00D36F63"/>
    <w:rsid w:val="00D400E1"/>
    <w:rsid w:val="00D40FAE"/>
    <w:rsid w:val="00D4149D"/>
    <w:rsid w:val="00D420EC"/>
    <w:rsid w:val="00D44060"/>
    <w:rsid w:val="00D47249"/>
    <w:rsid w:val="00D514E8"/>
    <w:rsid w:val="00D51517"/>
    <w:rsid w:val="00D51B07"/>
    <w:rsid w:val="00D5527E"/>
    <w:rsid w:val="00D5535E"/>
    <w:rsid w:val="00D56BA2"/>
    <w:rsid w:val="00D64608"/>
    <w:rsid w:val="00D65889"/>
    <w:rsid w:val="00D65FAE"/>
    <w:rsid w:val="00D70796"/>
    <w:rsid w:val="00D707E9"/>
    <w:rsid w:val="00D73000"/>
    <w:rsid w:val="00D762E0"/>
    <w:rsid w:val="00D76F1B"/>
    <w:rsid w:val="00D77543"/>
    <w:rsid w:val="00D80882"/>
    <w:rsid w:val="00D81141"/>
    <w:rsid w:val="00D81272"/>
    <w:rsid w:val="00D81DE6"/>
    <w:rsid w:val="00D826A4"/>
    <w:rsid w:val="00D84069"/>
    <w:rsid w:val="00D84429"/>
    <w:rsid w:val="00D84C86"/>
    <w:rsid w:val="00D8515C"/>
    <w:rsid w:val="00D85817"/>
    <w:rsid w:val="00D86AE1"/>
    <w:rsid w:val="00D927C4"/>
    <w:rsid w:val="00D92BBA"/>
    <w:rsid w:val="00D93197"/>
    <w:rsid w:val="00D9461E"/>
    <w:rsid w:val="00D957CF"/>
    <w:rsid w:val="00D95FE0"/>
    <w:rsid w:val="00D97AF2"/>
    <w:rsid w:val="00DA0933"/>
    <w:rsid w:val="00DA1CB0"/>
    <w:rsid w:val="00DA618E"/>
    <w:rsid w:val="00DA70B1"/>
    <w:rsid w:val="00DB0DA0"/>
    <w:rsid w:val="00DB1D9F"/>
    <w:rsid w:val="00DB621F"/>
    <w:rsid w:val="00DB73FD"/>
    <w:rsid w:val="00DC0915"/>
    <w:rsid w:val="00DC0BF0"/>
    <w:rsid w:val="00DC175A"/>
    <w:rsid w:val="00DC1D96"/>
    <w:rsid w:val="00DC2396"/>
    <w:rsid w:val="00DC266F"/>
    <w:rsid w:val="00DC2CDA"/>
    <w:rsid w:val="00DC2DEF"/>
    <w:rsid w:val="00DC36B5"/>
    <w:rsid w:val="00DC3D02"/>
    <w:rsid w:val="00DC7492"/>
    <w:rsid w:val="00DD10FC"/>
    <w:rsid w:val="00DD1672"/>
    <w:rsid w:val="00DD2046"/>
    <w:rsid w:val="00DD3111"/>
    <w:rsid w:val="00DE0D4F"/>
    <w:rsid w:val="00DE1CB0"/>
    <w:rsid w:val="00DE3DE2"/>
    <w:rsid w:val="00DE6651"/>
    <w:rsid w:val="00DE6749"/>
    <w:rsid w:val="00DE7EDE"/>
    <w:rsid w:val="00DF121C"/>
    <w:rsid w:val="00DF1983"/>
    <w:rsid w:val="00DF285E"/>
    <w:rsid w:val="00DF47F9"/>
    <w:rsid w:val="00DF5EB9"/>
    <w:rsid w:val="00DF68E8"/>
    <w:rsid w:val="00DF6DF5"/>
    <w:rsid w:val="00DF787C"/>
    <w:rsid w:val="00E01200"/>
    <w:rsid w:val="00E032F3"/>
    <w:rsid w:val="00E04662"/>
    <w:rsid w:val="00E0507F"/>
    <w:rsid w:val="00E07C93"/>
    <w:rsid w:val="00E1072A"/>
    <w:rsid w:val="00E11F26"/>
    <w:rsid w:val="00E14454"/>
    <w:rsid w:val="00E16A08"/>
    <w:rsid w:val="00E20364"/>
    <w:rsid w:val="00E20391"/>
    <w:rsid w:val="00E20674"/>
    <w:rsid w:val="00E2153F"/>
    <w:rsid w:val="00E22112"/>
    <w:rsid w:val="00E22223"/>
    <w:rsid w:val="00E22A53"/>
    <w:rsid w:val="00E23BDC"/>
    <w:rsid w:val="00E24801"/>
    <w:rsid w:val="00E24CCB"/>
    <w:rsid w:val="00E25774"/>
    <w:rsid w:val="00E25C84"/>
    <w:rsid w:val="00E27B0D"/>
    <w:rsid w:val="00E32A52"/>
    <w:rsid w:val="00E33898"/>
    <w:rsid w:val="00E34411"/>
    <w:rsid w:val="00E4023C"/>
    <w:rsid w:val="00E411A0"/>
    <w:rsid w:val="00E41274"/>
    <w:rsid w:val="00E43470"/>
    <w:rsid w:val="00E437C2"/>
    <w:rsid w:val="00E43AD6"/>
    <w:rsid w:val="00E45482"/>
    <w:rsid w:val="00E468D3"/>
    <w:rsid w:val="00E51575"/>
    <w:rsid w:val="00E573D7"/>
    <w:rsid w:val="00E575B7"/>
    <w:rsid w:val="00E57E33"/>
    <w:rsid w:val="00E6307B"/>
    <w:rsid w:val="00E64D1C"/>
    <w:rsid w:val="00E65244"/>
    <w:rsid w:val="00E65E8E"/>
    <w:rsid w:val="00E67DE5"/>
    <w:rsid w:val="00E700A6"/>
    <w:rsid w:val="00E7242C"/>
    <w:rsid w:val="00E72824"/>
    <w:rsid w:val="00E75B4C"/>
    <w:rsid w:val="00E75FBC"/>
    <w:rsid w:val="00E76F17"/>
    <w:rsid w:val="00E77EBD"/>
    <w:rsid w:val="00E80AC0"/>
    <w:rsid w:val="00E841DC"/>
    <w:rsid w:val="00E8757B"/>
    <w:rsid w:val="00E9091F"/>
    <w:rsid w:val="00E92D1E"/>
    <w:rsid w:val="00E93117"/>
    <w:rsid w:val="00E93DB2"/>
    <w:rsid w:val="00E95A1A"/>
    <w:rsid w:val="00E96B8C"/>
    <w:rsid w:val="00EA0083"/>
    <w:rsid w:val="00EA079E"/>
    <w:rsid w:val="00EA0F9C"/>
    <w:rsid w:val="00EA1163"/>
    <w:rsid w:val="00EA1A2D"/>
    <w:rsid w:val="00EA1C6E"/>
    <w:rsid w:val="00EA4DC8"/>
    <w:rsid w:val="00EA51E3"/>
    <w:rsid w:val="00EA68CE"/>
    <w:rsid w:val="00EA7A1D"/>
    <w:rsid w:val="00EA7C97"/>
    <w:rsid w:val="00EB1B22"/>
    <w:rsid w:val="00EB1D29"/>
    <w:rsid w:val="00EB213C"/>
    <w:rsid w:val="00EB26B3"/>
    <w:rsid w:val="00EB3402"/>
    <w:rsid w:val="00EB3A72"/>
    <w:rsid w:val="00EB5358"/>
    <w:rsid w:val="00EB5B3F"/>
    <w:rsid w:val="00EB6A5B"/>
    <w:rsid w:val="00EC08C6"/>
    <w:rsid w:val="00EC09D6"/>
    <w:rsid w:val="00EC191E"/>
    <w:rsid w:val="00EC2A18"/>
    <w:rsid w:val="00EC3DE7"/>
    <w:rsid w:val="00EC4858"/>
    <w:rsid w:val="00EC6007"/>
    <w:rsid w:val="00EC660F"/>
    <w:rsid w:val="00ED109A"/>
    <w:rsid w:val="00ED1F96"/>
    <w:rsid w:val="00ED45DA"/>
    <w:rsid w:val="00ED493C"/>
    <w:rsid w:val="00ED5BE5"/>
    <w:rsid w:val="00ED676C"/>
    <w:rsid w:val="00EE2AE5"/>
    <w:rsid w:val="00EE497C"/>
    <w:rsid w:val="00EE4C67"/>
    <w:rsid w:val="00EF07E6"/>
    <w:rsid w:val="00EF3DB1"/>
    <w:rsid w:val="00EF475A"/>
    <w:rsid w:val="00EF52DF"/>
    <w:rsid w:val="00EF55F5"/>
    <w:rsid w:val="00EF6DC6"/>
    <w:rsid w:val="00F00EF4"/>
    <w:rsid w:val="00F0282B"/>
    <w:rsid w:val="00F12964"/>
    <w:rsid w:val="00F143A1"/>
    <w:rsid w:val="00F156FD"/>
    <w:rsid w:val="00F16AB3"/>
    <w:rsid w:val="00F227F3"/>
    <w:rsid w:val="00F22929"/>
    <w:rsid w:val="00F2406E"/>
    <w:rsid w:val="00F304B6"/>
    <w:rsid w:val="00F31EB6"/>
    <w:rsid w:val="00F335AB"/>
    <w:rsid w:val="00F3496F"/>
    <w:rsid w:val="00F36619"/>
    <w:rsid w:val="00F52CDB"/>
    <w:rsid w:val="00F532A0"/>
    <w:rsid w:val="00F53E33"/>
    <w:rsid w:val="00F5569F"/>
    <w:rsid w:val="00F57A64"/>
    <w:rsid w:val="00F61274"/>
    <w:rsid w:val="00F614FE"/>
    <w:rsid w:val="00F61F96"/>
    <w:rsid w:val="00F663CF"/>
    <w:rsid w:val="00F6780E"/>
    <w:rsid w:val="00F70B3E"/>
    <w:rsid w:val="00F70DC2"/>
    <w:rsid w:val="00F73358"/>
    <w:rsid w:val="00F754F8"/>
    <w:rsid w:val="00F8014D"/>
    <w:rsid w:val="00F81F1A"/>
    <w:rsid w:val="00F82C31"/>
    <w:rsid w:val="00F835B2"/>
    <w:rsid w:val="00F84CDC"/>
    <w:rsid w:val="00F873DB"/>
    <w:rsid w:val="00F93FA4"/>
    <w:rsid w:val="00F94F2F"/>
    <w:rsid w:val="00F9592A"/>
    <w:rsid w:val="00F964CF"/>
    <w:rsid w:val="00FA0AF5"/>
    <w:rsid w:val="00FA0E2B"/>
    <w:rsid w:val="00FA2ED9"/>
    <w:rsid w:val="00FA3358"/>
    <w:rsid w:val="00FA406B"/>
    <w:rsid w:val="00FA52F0"/>
    <w:rsid w:val="00FA5B2C"/>
    <w:rsid w:val="00FA5C65"/>
    <w:rsid w:val="00FA78EC"/>
    <w:rsid w:val="00FB0D8F"/>
    <w:rsid w:val="00FB2D6E"/>
    <w:rsid w:val="00FB3931"/>
    <w:rsid w:val="00FB41B9"/>
    <w:rsid w:val="00FB4CBD"/>
    <w:rsid w:val="00FB5C39"/>
    <w:rsid w:val="00FB6B65"/>
    <w:rsid w:val="00FB7690"/>
    <w:rsid w:val="00FB7A03"/>
    <w:rsid w:val="00FC09C2"/>
    <w:rsid w:val="00FC19A0"/>
    <w:rsid w:val="00FC2A33"/>
    <w:rsid w:val="00FC55E6"/>
    <w:rsid w:val="00FC7E12"/>
    <w:rsid w:val="00FD11CB"/>
    <w:rsid w:val="00FD23B9"/>
    <w:rsid w:val="00FD3DCA"/>
    <w:rsid w:val="00FD467C"/>
    <w:rsid w:val="00FD538D"/>
    <w:rsid w:val="00FD73EB"/>
    <w:rsid w:val="00FE0496"/>
    <w:rsid w:val="00FE06B5"/>
    <w:rsid w:val="00FE074E"/>
    <w:rsid w:val="00FE19A0"/>
    <w:rsid w:val="00FE1AE0"/>
    <w:rsid w:val="00FE2108"/>
    <w:rsid w:val="00FE3743"/>
    <w:rsid w:val="00FE417D"/>
    <w:rsid w:val="00FE452A"/>
    <w:rsid w:val="00FE4EB6"/>
    <w:rsid w:val="00FE5536"/>
    <w:rsid w:val="00FE7B6E"/>
    <w:rsid w:val="00FF1B78"/>
    <w:rsid w:val="00FF304B"/>
    <w:rsid w:val="00FF321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A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A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56A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56A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56A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A7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56A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A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link w:val="ConsPlusNormal0"/>
    <w:uiPriority w:val="99"/>
    <w:rsid w:val="00656A7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656A71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56A71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56A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656A71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656A7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30">
    <w:name w:val="Font Style30"/>
    <w:basedOn w:val="a0"/>
    <w:rsid w:val="00656A71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656A71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656A71"/>
    <w:rPr>
      <w:rFonts w:ascii="Times New Roman" w:hAnsi="Times New Roman" w:cs="Times New Roman" w:hint="default"/>
      <w:i/>
      <w:iCs/>
    </w:rPr>
  </w:style>
  <w:style w:type="paragraph" w:styleId="ac">
    <w:name w:val="List Paragraph"/>
    <w:basedOn w:val="a"/>
    <w:uiPriority w:val="34"/>
    <w:qFormat/>
    <w:rsid w:val="00D400E1"/>
    <w:pPr>
      <w:ind w:left="720"/>
      <w:contextualSpacing/>
    </w:pPr>
  </w:style>
  <w:style w:type="paragraph" w:styleId="3">
    <w:name w:val="Body Text Indent 3"/>
    <w:basedOn w:val="a"/>
    <w:link w:val="30"/>
    <w:rsid w:val="002D7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719A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59"/>
    <w:rsid w:val="00DC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5F64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81F1A"/>
  </w:style>
  <w:style w:type="paragraph" w:styleId="ae">
    <w:name w:val="footer"/>
    <w:basedOn w:val="a"/>
    <w:link w:val="af"/>
    <w:uiPriority w:val="99"/>
    <w:unhideWhenUsed/>
    <w:rsid w:val="00CA6F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1C6C2CAD8207B39BE1A3CF7679DADFDE27219B98C66EABD5DE3C9C565303F37ED9C3E1D6973873k9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E534-9256-49A8-9984-3470D04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5062</TotalTime>
  <Pages>24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1554</cp:revision>
  <cp:lastPrinted>2022-04-08T09:17:00Z</cp:lastPrinted>
  <dcterms:created xsi:type="dcterms:W3CDTF">2018-04-16T15:30:00Z</dcterms:created>
  <dcterms:modified xsi:type="dcterms:W3CDTF">2023-06-13T08:47:00Z</dcterms:modified>
</cp:coreProperties>
</file>