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66" w:rsidRPr="00EC5966" w:rsidRDefault="00EC5966" w:rsidP="00FA0BC2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E849491" wp14:editId="4F4469D3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966" w:rsidRPr="00EC5966" w:rsidRDefault="00EC5966" w:rsidP="00EC5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EC5966" w:rsidRPr="00EC5966" w:rsidRDefault="00EC5966" w:rsidP="00EC5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EC59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EC5966" w:rsidRPr="00EC5966" w:rsidRDefault="00EC5966" w:rsidP="00EC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966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EC5966" w:rsidRPr="00EC5966" w:rsidRDefault="00EC5966" w:rsidP="00E0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 Контрольно-счетной палаты Суражского муниципального района</w:t>
      </w:r>
      <w:r w:rsidR="00E00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проект решения «О бюджете </w:t>
      </w:r>
      <w:r w:rsidR="00B63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 Суражского муниципального района Брянской области </w:t>
      </w:r>
      <w:r w:rsidR="0011415C">
        <w:rPr>
          <w:rFonts w:ascii="Times New Roman" w:eastAsia="Times New Roman" w:hAnsi="Times New Roman" w:cs="Times New Roman"/>
          <w:b/>
          <w:bCs/>
          <w:sz w:val="28"/>
          <w:szCs w:val="28"/>
        </w:rPr>
        <w:t>на 2024 год и на плановый период 2025 и 2026 годов</w:t>
      </w: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C50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C5966" w:rsidRPr="00EC5966" w:rsidRDefault="00EC5966" w:rsidP="00E00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C5966" w:rsidRPr="00EC5966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г. Сураж                                                                                        </w:t>
      </w:r>
      <w:r w:rsidR="00EF371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612C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E53E3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003A4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11415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742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EC5966" w:rsidRPr="00EC5966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9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C5966" w:rsidRPr="00B13D85" w:rsidRDefault="00EC5966" w:rsidP="00EC5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EC5966" w:rsidRPr="005E7E9C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</w:t>
      </w:r>
      <w:r w:rsidR="00AC50EA" w:rsidRPr="00AC50EA">
        <w:rPr>
          <w:rFonts w:ascii="Times New Roman" w:eastAsia="Times New Roman" w:hAnsi="Times New Roman" w:cs="Times New Roman"/>
          <w:sz w:val="24"/>
          <w:szCs w:val="24"/>
        </w:rPr>
        <w:t xml:space="preserve">«О бюджете Суражского городского поселения  Суражского муниципального района Брянской области </w:t>
      </w:r>
      <w:r w:rsidR="0011415C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="00AC50EA" w:rsidRPr="00AC50E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E7E9C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«О Контрольно-счетной палате Суражского муниципального района», </w:t>
      </w:r>
      <w:r w:rsidR="005E7E9C" w:rsidRPr="005E7E9C">
        <w:rPr>
          <w:rFonts w:ascii="Times New Roman" w:eastAsia="Times New Roman" w:hAnsi="Times New Roman" w:cs="Times New Roman"/>
          <w:sz w:val="24"/>
          <w:szCs w:val="24"/>
        </w:rPr>
        <w:t>пунктом 1.1.</w:t>
      </w:r>
      <w:r w:rsidR="00AB57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7E9C" w:rsidRPr="005E7E9C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141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7E9C" w:rsidRPr="005E7E9C">
        <w:rPr>
          <w:rFonts w:ascii="Times New Roman" w:eastAsia="Times New Roman" w:hAnsi="Times New Roman" w:cs="Times New Roman"/>
          <w:sz w:val="24"/>
          <w:szCs w:val="24"/>
        </w:rPr>
        <w:t xml:space="preserve"> год, приказа № </w:t>
      </w:r>
      <w:r w:rsidR="00B20B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15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E7E9C" w:rsidRPr="005E7E9C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E95BF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E7E9C" w:rsidRPr="005E7E9C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141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7E9C" w:rsidRPr="005E7E9C"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Pr="005E7E9C">
        <w:rPr>
          <w:rFonts w:ascii="Times New Roman" w:eastAsia="Times New Roman" w:hAnsi="Times New Roman" w:cs="Times New Roman"/>
          <w:sz w:val="24"/>
          <w:szCs w:val="24"/>
        </w:rPr>
        <w:t>иными</w:t>
      </w:r>
      <w:proofErr w:type="gramEnd"/>
      <w:r w:rsidRPr="005E7E9C">
        <w:rPr>
          <w:rFonts w:ascii="Times New Roman" w:eastAsia="Times New Roman" w:hAnsi="Times New Roman" w:cs="Times New Roman"/>
          <w:sz w:val="24"/>
          <w:szCs w:val="24"/>
        </w:rPr>
        <w:t xml:space="preserve"> актами законодательства Российской Федерации и органов местного самоуправления.</w:t>
      </w:r>
    </w:p>
    <w:p w:rsidR="00EC5966" w:rsidRPr="00B13D85" w:rsidRDefault="00EC5966" w:rsidP="00EC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r w:rsidR="009C2D06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EC5966" w:rsidRPr="00B13D85" w:rsidRDefault="00EC5966" w:rsidP="00EC5966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B13D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B13D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EC5966" w:rsidRPr="00B13D85" w:rsidRDefault="00EC5966" w:rsidP="00EC5966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5852A2" w:rsidRPr="002B2003" w:rsidRDefault="00EC5966" w:rsidP="009C0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9C2D06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разработан </w:t>
      </w:r>
      <w:r w:rsidR="0011415C">
        <w:rPr>
          <w:rFonts w:ascii="Times New Roman" w:eastAsia="Times New Roman" w:hAnsi="Times New Roman" w:cs="Times New Roman"/>
          <w:sz w:val="24"/>
          <w:szCs w:val="24"/>
        </w:rPr>
        <w:t>на 2024 год и плановый период 2025-2026 годов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установленному периоду в части 1 статьи 173 Бюджетного кодекса Российской Федерации.  </w:t>
      </w:r>
      <w:proofErr w:type="gramStart"/>
      <w:r w:rsidRPr="002B2003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9C2D06" w:rsidRPr="002B2003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="00FF7D28" w:rsidRPr="002B2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003">
        <w:rPr>
          <w:rFonts w:ascii="Times New Roman" w:eastAsia="Times New Roman" w:hAnsi="Times New Roman" w:cs="Times New Roman"/>
          <w:sz w:val="24"/>
          <w:szCs w:val="24"/>
        </w:rPr>
        <w:t xml:space="preserve"> (далее -  Прогноз) разработан в </w:t>
      </w:r>
      <w:hyperlink r:id="rId8" w:history="1">
        <w:r w:rsidRPr="002B200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порядке</w:t>
        </w:r>
      </w:hyperlink>
      <w:r w:rsidRPr="002B2003">
        <w:rPr>
          <w:rFonts w:ascii="Times New Roman" w:eastAsia="Times New Roman" w:hAnsi="Times New Roman" w:cs="Times New Roman"/>
          <w:sz w:val="24"/>
          <w:szCs w:val="24"/>
        </w:rPr>
        <w:t>, установленном постановлением Администрации  Суражского района от 21.07.2016 г. №</w:t>
      </w:r>
      <w:r w:rsidR="009A56C2" w:rsidRPr="002B2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003">
        <w:rPr>
          <w:rFonts w:ascii="Times New Roman" w:eastAsia="Times New Roman" w:hAnsi="Times New Roman" w:cs="Times New Roman"/>
          <w:sz w:val="24"/>
          <w:szCs w:val="24"/>
        </w:rPr>
        <w:t xml:space="preserve">710 «Об утверждении Порядка разработки, корректировки, осуществления мониторинга и контроля реализации прогноза социально-экономического развития </w:t>
      </w:r>
      <w:r w:rsidR="009C2D06" w:rsidRPr="002B2003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Pr="002B2003">
        <w:rPr>
          <w:rFonts w:ascii="Times New Roman" w:eastAsia="Times New Roman" w:hAnsi="Times New Roman" w:cs="Times New Roman"/>
          <w:sz w:val="24"/>
          <w:szCs w:val="24"/>
        </w:rPr>
        <w:t xml:space="preserve"> на среднесрочный и долгосрочный период»</w:t>
      </w:r>
      <w:r w:rsidR="00EF393B" w:rsidRPr="002B2003">
        <w:rPr>
          <w:rFonts w:ascii="Times New Roman" w:eastAsia="Times New Roman" w:hAnsi="Times New Roman" w:cs="Times New Roman"/>
          <w:sz w:val="24"/>
          <w:szCs w:val="24"/>
        </w:rPr>
        <w:t xml:space="preserve">, утвержден постановлением администрации Суражского района от </w:t>
      </w:r>
      <w:r w:rsidR="00015DFA" w:rsidRPr="002B20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402F" w:rsidRPr="002B20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F393B" w:rsidRPr="002B2003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5003A4" w:rsidRPr="002B200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20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393B" w:rsidRPr="002B200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E438CB" w:rsidRPr="002B2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02F" w:rsidRPr="002B2003">
        <w:rPr>
          <w:rFonts w:ascii="Times New Roman" w:eastAsia="Times New Roman" w:hAnsi="Times New Roman" w:cs="Times New Roman"/>
          <w:sz w:val="24"/>
          <w:szCs w:val="24"/>
        </w:rPr>
        <w:t>761</w:t>
      </w:r>
      <w:r w:rsidR="00EF393B" w:rsidRPr="002B200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852A2" w:rsidRPr="002B2003">
        <w:rPr>
          <w:rFonts w:ascii="Times New Roman" w:eastAsia="Times New Roman" w:hAnsi="Times New Roman" w:cs="Times New Roman"/>
          <w:sz w:val="24"/>
          <w:szCs w:val="24"/>
        </w:rPr>
        <w:t xml:space="preserve">О прогнозе социально-экономического развития </w:t>
      </w:r>
      <w:r w:rsidR="009C2D06" w:rsidRPr="002B2003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="005852A2" w:rsidRPr="002B2003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на </w:t>
      </w:r>
      <w:r w:rsidR="005003A4" w:rsidRPr="002B2003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202</w:t>
      </w:r>
      <w:r w:rsidR="002B2003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>4</w:t>
      </w:r>
      <w:r w:rsidR="005852A2" w:rsidRPr="002B2003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год</w:t>
      </w:r>
      <w:proofErr w:type="gramEnd"/>
      <w:r w:rsidR="00EF393B" w:rsidRPr="002B2003">
        <w:rPr>
          <w:rFonts w:ascii="Times New Roman" w:eastAsia="Times New Roman" w:hAnsi="Times New Roman" w:cs="Times New Roman"/>
          <w:iCs/>
          <w:kern w:val="3"/>
          <w:sz w:val="24"/>
          <w:szCs w:val="24"/>
        </w:rPr>
        <w:t xml:space="preserve"> </w:t>
      </w:r>
      <w:r w:rsidR="005852A2" w:rsidRPr="002B200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44568" w:rsidRPr="002B2003">
        <w:rPr>
          <w:rFonts w:ascii="Times New Roman" w:eastAsia="Times New Roman" w:hAnsi="Times New Roman" w:cs="Times New Roman"/>
          <w:sz w:val="24"/>
          <w:szCs w:val="24"/>
        </w:rPr>
        <w:t>на период до 2026 года</w:t>
      </w:r>
      <w:r w:rsidR="00EF393B" w:rsidRPr="002B200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C3627" w:rsidRPr="002B2003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2003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Суражского городского поселения Суражского муниципального района Брянской области на </w:t>
      </w:r>
      <w:r w:rsidR="005003A4" w:rsidRPr="002B200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20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2003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844568" w:rsidRPr="002B2003">
        <w:rPr>
          <w:rFonts w:ascii="Times New Roman" w:eastAsia="Times New Roman" w:hAnsi="Times New Roman" w:cs="Times New Roman"/>
          <w:sz w:val="24"/>
          <w:szCs w:val="24"/>
        </w:rPr>
        <w:t>на период до 2026 года</w:t>
      </w:r>
      <w:r w:rsidRPr="002B2003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основе анализа динамики ситуации в экономической и социальной сфере города, сценарных условий и основных макроэкономических параметров прогноза социально-экономического развития Российской Федерации на </w:t>
      </w:r>
      <w:r w:rsidR="005003A4" w:rsidRPr="002B200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20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200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</w:t>
      </w:r>
      <w:r w:rsidRPr="002B20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период </w:t>
      </w:r>
      <w:r w:rsidR="005003A4" w:rsidRPr="002B200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20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2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003A4" w:rsidRPr="002B200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20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B20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03A4" w:rsidRPr="002B200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200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B2003">
        <w:rPr>
          <w:rFonts w:ascii="Times New Roman" w:eastAsia="Times New Roman" w:hAnsi="Times New Roman" w:cs="Times New Roman"/>
          <w:sz w:val="24"/>
          <w:szCs w:val="24"/>
        </w:rPr>
        <w:t xml:space="preserve"> годов с учетом эффекта от реализации антикризисных</w:t>
      </w:r>
      <w:proofErr w:type="gramEnd"/>
      <w:r w:rsidRPr="002B2003">
        <w:rPr>
          <w:rFonts w:ascii="Times New Roman" w:eastAsia="Times New Roman" w:hAnsi="Times New Roman" w:cs="Times New Roman"/>
          <w:sz w:val="24"/>
          <w:szCs w:val="24"/>
        </w:rPr>
        <w:t xml:space="preserve"> мер, направленных на повышение устойчивости и оздоровление экономики города Суража.</w:t>
      </w:r>
    </w:p>
    <w:p w:rsidR="006C3627" w:rsidRP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003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прогноза социально-экономического развития города на </w:t>
      </w:r>
      <w:r w:rsidR="005003A4" w:rsidRPr="002B200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20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2003">
        <w:rPr>
          <w:rFonts w:ascii="Times New Roman" w:eastAsia="Times New Roman" w:hAnsi="Times New Roman" w:cs="Times New Roman"/>
          <w:sz w:val="24"/>
          <w:szCs w:val="24"/>
        </w:rPr>
        <w:t xml:space="preserve"> год и параметров прогноза экономики</w:t>
      </w:r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города до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B200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проводилась по двум вариантам, с учетом перспектив восстановления роста экономики, а также проводимой государственной политики.</w:t>
      </w:r>
    </w:p>
    <w:p w:rsidR="006C3627" w:rsidRP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Консервативный вариант рассматривает сценарий в условиях более низкой динамики цен на нефть и природный газ. </w:t>
      </w:r>
    </w:p>
    <w:p w:rsidR="006C3627" w:rsidRP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27">
        <w:rPr>
          <w:rFonts w:ascii="Times New Roman" w:eastAsia="Times New Roman" w:hAnsi="Times New Roman" w:cs="Times New Roman"/>
          <w:sz w:val="24"/>
          <w:szCs w:val="24"/>
        </w:rPr>
        <w:t>Базовый вариант характеризует возможности экономики в условиях сохранения консервативных тенденций изменения внешних факторов при сохранении консервативной бюджетной политики.</w:t>
      </w:r>
    </w:p>
    <w:p w:rsidR="006C3627" w:rsidRP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27">
        <w:rPr>
          <w:rFonts w:ascii="Times New Roman" w:eastAsia="Times New Roman" w:hAnsi="Times New Roman" w:cs="Times New Roman"/>
          <w:sz w:val="24"/>
          <w:szCs w:val="24"/>
        </w:rPr>
        <w:t>Базовый вариант рассматривается в качестве основного сценария развития экономики и служит базой для формирования прогноза социально-экономического развития Суражского городского поселения Суражского муниципального района Брянской области.</w:t>
      </w:r>
    </w:p>
    <w:p w:rsidR="006C3627" w:rsidRP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27">
        <w:rPr>
          <w:rFonts w:ascii="Times New Roman" w:eastAsia="Times New Roman" w:hAnsi="Times New Roman" w:cs="Times New Roman"/>
          <w:sz w:val="24"/>
          <w:szCs w:val="24"/>
        </w:rPr>
        <w:t>Поскольку экономика города является составной частью общероссийской, и в среднесрочной перспективе для ее развития будут характерны общие процессы, при разработке данного прогноза использована динамика индексов-дефляторов, рекомендованная Минэкономразвития России.</w:t>
      </w:r>
    </w:p>
    <w:p w:rsidR="006C3627" w:rsidRP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27">
        <w:rPr>
          <w:rFonts w:ascii="Times New Roman" w:eastAsia="Times New Roman" w:hAnsi="Times New Roman" w:cs="Times New Roman"/>
          <w:sz w:val="24"/>
          <w:szCs w:val="24"/>
        </w:rPr>
        <w:t>В целом, экономическая деятельность города Суража складывается из отраслей промышленности и потребительского рынка.</w:t>
      </w:r>
    </w:p>
    <w:p w:rsidR="006C3627" w:rsidRP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627">
        <w:rPr>
          <w:rFonts w:ascii="Times New Roman" w:eastAsia="Times New Roman" w:hAnsi="Times New Roman" w:cs="Times New Roman"/>
          <w:sz w:val="24"/>
          <w:szCs w:val="24"/>
        </w:rPr>
        <w:t>Суражское</w:t>
      </w:r>
      <w:proofErr w:type="spellEnd"/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3627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proofErr w:type="gramEnd"/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поселения Суражского муниципального района Брянской области наделено статусом </w:t>
      </w:r>
      <w:proofErr w:type="spellStart"/>
      <w:r w:rsidRPr="006C3627">
        <w:rPr>
          <w:rFonts w:ascii="Times New Roman" w:eastAsia="Times New Roman" w:hAnsi="Times New Roman" w:cs="Times New Roman"/>
          <w:sz w:val="24"/>
          <w:szCs w:val="24"/>
        </w:rPr>
        <w:t>монопрофильного</w:t>
      </w:r>
      <w:proofErr w:type="spellEnd"/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распоряжением Правительства РФ от 29.07.2014 года № 1398-р «О Перечне </w:t>
      </w:r>
      <w:proofErr w:type="spellStart"/>
      <w:r w:rsidRPr="006C3627">
        <w:rPr>
          <w:rFonts w:ascii="Times New Roman" w:eastAsia="Times New Roman" w:hAnsi="Times New Roman" w:cs="Times New Roman"/>
          <w:sz w:val="24"/>
          <w:szCs w:val="24"/>
        </w:rPr>
        <w:t>монопрофильных</w:t>
      </w:r>
      <w:proofErr w:type="spellEnd"/>
      <w:r w:rsidRPr="006C36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 РФ (моногородов)». </w:t>
      </w:r>
    </w:p>
    <w:p w:rsidR="006C3627" w:rsidRDefault="006C3627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627">
        <w:rPr>
          <w:rFonts w:ascii="Times New Roman" w:eastAsia="Times New Roman" w:hAnsi="Times New Roman" w:cs="Times New Roman"/>
          <w:sz w:val="24"/>
          <w:szCs w:val="24"/>
        </w:rPr>
        <w:t>Органами местной власти принимаются меры, направленные на снижение влияния деятельности АО «Пролетарий» на состояние экономики моногорода. В общем объеме прибыли прибыльных организаций промышленности на градообразующее предприятие приходится 8</w:t>
      </w:r>
      <w:r w:rsidR="002B20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77BF">
        <w:rPr>
          <w:rFonts w:ascii="Times New Roman" w:eastAsia="Times New Roman" w:hAnsi="Times New Roman" w:cs="Times New Roman"/>
          <w:sz w:val="24"/>
          <w:szCs w:val="24"/>
        </w:rPr>
        <w:t>,4</w:t>
      </w:r>
      <w:r w:rsidRPr="006C362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C5966" w:rsidRDefault="00EC5966" w:rsidP="006C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города. В целом она не получит существенных изменений и продолжится тенденция сокращения населения.</w:t>
      </w:r>
    </w:p>
    <w:p w:rsidR="00EC5966" w:rsidRPr="00B13D85" w:rsidRDefault="00EC5966" w:rsidP="00EC59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показатели демографической ситуации</w:t>
      </w:r>
    </w:p>
    <w:p w:rsidR="00EC5966" w:rsidRPr="00B13D85" w:rsidRDefault="00EC5966" w:rsidP="00EC59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>Таблица №1</w:t>
      </w:r>
    </w:p>
    <w:tbl>
      <w:tblPr>
        <w:tblW w:w="94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785"/>
        <w:gridCol w:w="712"/>
        <w:gridCol w:w="731"/>
        <w:gridCol w:w="810"/>
        <w:gridCol w:w="647"/>
        <w:gridCol w:w="709"/>
        <w:gridCol w:w="689"/>
      </w:tblGrid>
      <w:tr w:rsidR="002B2003" w:rsidRPr="00B13D85" w:rsidTr="00147494"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2018 </w:t>
            </w:r>
          </w:p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2019</w:t>
            </w:r>
          </w:p>
          <w:p w:rsidR="002B2003" w:rsidRPr="00B13D85" w:rsidRDefault="002B2003" w:rsidP="002B2003">
            <w:pPr>
              <w:tabs>
                <w:tab w:val="center" w:pos="43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61C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B2003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</w:t>
            </w:r>
          </w:p>
          <w:p w:rsidR="002B2003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B2003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тчет</w:t>
            </w:r>
          </w:p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тчет2022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B2003" w:rsidRDefault="002B2003" w:rsidP="005E10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2B2003" w:rsidRPr="00B13D85" w:rsidRDefault="002B2003" w:rsidP="005E10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20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2B2003" w:rsidRPr="00B13D85" w:rsidTr="002B2003"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2003" w:rsidRPr="00B13D85" w:rsidRDefault="002B2003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003" w:rsidRPr="00B13D85" w:rsidRDefault="002B2003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2003" w:rsidRPr="00B13D85" w:rsidRDefault="002B2003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B2003" w:rsidRPr="00B13D85" w:rsidRDefault="002B2003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003" w:rsidRPr="00B13D85" w:rsidRDefault="002B2003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003" w:rsidRPr="00B13D85" w:rsidRDefault="002B2003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B2003" w:rsidRDefault="002B2003" w:rsidP="00B166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Default="002B2003" w:rsidP="00B166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B2003" w:rsidRPr="00B13D85" w:rsidRDefault="002B2003" w:rsidP="00B166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Default="002B2003" w:rsidP="00902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  <w:p w:rsidR="002B2003" w:rsidRPr="00B13D85" w:rsidRDefault="002B2003" w:rsidP="00902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Default="002B2003" w:rsidP="00902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B2003" w:rsidRPr="00B13D85" w:rsidRDefault="002B2003" w:rsidP="009027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2B2003" w:rsidRPr="00B13D85" w:rsidTr="00147494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Среднегодовая численность населения,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10793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B2003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10546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10414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F6238C" w:rsidP="005E10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B2003" w:rsidRDefault="00F6238C" w:rsidP="00F623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10884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F6238C" w:rsidP="00F623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F623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6238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F6238C" w:rsidP="00F623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10400</w:t>
            </w:r>
          </w:p>
        </w:tc>
      </w:tr>
      <w:tr w:rsidR="002B2003" w:rsidRPr="00B13D85" w:rsidTr="00147494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родившихся,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B2003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063994" w:rsidP="000639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B2003" w:rsidRDefault="002B2003" w:rsidP="000639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6399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6527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794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063994" w:rsidP="000639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B2003" w:rsidRPr="00B13D85" w:rsidTr="00147494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умерших,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B2003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5953E1" w:rsidP="005953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B2003" w:rsidRDefault="005953E1" w:rsidP="005953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5953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53E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5953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53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5953E1" w:rsidP="005953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2B2003" w:rsidRPr="00B13D85" w:rsidTr="00147494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Миграционный прирост</w:t>
            </w:r>
            <w:proofErr w:type="gramStart"/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(+), </w:t>
            </w:r>
            <w:proofErr w:type="gramEnd"/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(-)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B2003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2003" w:rsidRPr="00B13D85" w:rsidRDefault="002B2003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5774C8" w:rsidP="00577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B2003" w:rsidRDefault="005774C8" w:rsidP="00577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5774C8" w:rsidP="00577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5774C8" w:rsidP="00577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03" w:rsidRPr="00B13D85" w:rsidRDefault="005774C8" w:rsidP="007944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B20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E3180" w:rsidRPr="00AE3180" w:rsidRDefault="00AE3180" w:rsidP="00AE31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80">
        <w:rPr>
          <w:rFonts w:ascii="Times New Roman" w:eastAsia="Times New Roman" w:hAnsi="Times New Roman" w:cs="Times New Roman"/>
          <w:sz w:val="24"/>
          <w:szCs w:val="24"/>
        </w:rPr>
        <w:t>Среднегодовая численность населения за 20</w:t>
      </w:r>
      <w:r w:rsidR="006C72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0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к аналогичному периоду 20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0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4450D2">
        <w:rPr>
          <w:rFonts w:ascii="Times New Roman" w:eastAsia="Times New Roman" w:hAnsi="Times New Roman" w:cs="Times New Roman"/>
          <w:sz w:val="24"/>
          <w:szCs w:val="24"/>
        </w:rPr>
        <w:t>105,6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% или 10</w:t>
      </w:r>
      <w:r w:rsidR="004450D2">
        <w:rPr>
          <w:rFonts w:ascii="Times New Roman" w:eastAsia="Times New Roman" w:hAnsi="Times New Roman" w:cs="Times New Roman"/>
          <w:sz w:val="24"/>
          <w:szCs w:val="24"/>
        </w:rPr>
        <w:t>995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человек. По оценке на 202</w:t>
      </w:r>
      <w:r w:rsidR="004450D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г. данный показатель составит к предыдущему периоду 9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8,9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% или 10</w:t>
      </w:r>
      <w:r w:rsidR="004450D2">
        <w:rPr>
          <w:rFonts w:ascii="Times New Roman" w:eastAsia="Times New Roman" w:hAnsi="Times New Roman" w:cs="Times New Roman"/>
          <w:sz w:val="24"/>
          <w:szCs w:val="24"/>
        </w:rPr>
        <w:t>690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человек, по прогнозу к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450D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году численность городского населения сократиться до </w:t>
      </w:r>
      <w:r w:rsidR="004450D2">
        <w:rPr>
          <w:rFonts w:ascii="Times New Roman" w:eastAsia="Times New Roman" w:hAnsi="Times New Roman" w:cs="Times New Roman"/>
          <w:sz w:val="24"/>
          <w:szCs w:val="24"/>
        </w:rPr>
        <w:t xml:space="preserve">10400 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человек. </w:t>
      </w:r>
    </w:p>
    <w:p w:rsidR="00AE3180" w:rsidRPr="00AE3180" w:rsidRDefault="00AE3180" w:rsidP="00AE31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80">
        <w:rPr>
          <w:rFonts w:ascii="Times New Roman" w:eastAsia="Times New Roman" w:hAnsi="Times New Roman" w:cs="Times New Roman"/>
          <w:sz w:val="24"/>
          <w:szCs w:val="24"/>
        </w:rPr>
        <w:t>Общий коэффициент рождаемости за 20</w:t>
      </w:r>
      <w:r w:rsidR="006C72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0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1024C1">
        <w:rPr>
          <w:rFonts w:ascii="Times New Roman" w:eastAsia="Times New Roman" w:hAnsi="Times New Roman" w:cs="Times New Roman"/>
          <w:sz w:val="24"/>
          <w:szCs w:val="24"/>
        </w:rPr>
        <w:t>8,0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человек, по оценке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450D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году данный показатель 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на прежнем уровне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180" w:rsidRPr="00AE3180" w:rsidRDefault="00AE3180" w:rsidP="00AE31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80">
        <w:rPr>
          <w:rFonts w:ascii="Times New Roman" w:eastAsia="Times New Roman" w:hAnsi="Times New Roman" w:cs="Times New Roman"/>
          <w:sz w:val="24"/>
          <w:szCs w:val="24"/>
        </w:rPr>
        <w:lastRenderedPageBreak/>
        <w:t>Общий коэффициент смертности за 20</w:t>
      </w:r>
      <w:r w:rsidR="006C72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14,7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населения, по оценке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 xml:space="preserve">14,7 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человек на 1000 населения, по прогнозу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C72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15,</w:t>
      </w:r>
      <w:r w:rsidR="00874DB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населения, к уровням прошлых лет.</w:t>
      </w:r>
    </w:p>
    <w:p w:rsidR="00AE3180" w:rsidRPr="00AE3180" w:rsidRDefault="00AE3180" w:rsidP="00AE31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80">
        <w:rPr>
          <w:rFonts w:ascii="Times New Roman" w:eastAsia="Times New Roman" w:hAnsi="Times New Roman" w:cs="Times New Roman"/>
          <w:sz w:val="24"/>
          <w:szCs w:val="24"/>
        </w:rPr>
        <w:t>Коэффициент естественной убыли за 20</w:t>
      </w:r>
      <w:r w:rsidR="006C72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– 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7,2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населения, по оценке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6C72A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7,2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населения, по прогнозу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 на 1000 населения, к уровням прошлых лет. </w:t>
      </w:r>
    </w:p>
    <w:p w:rsidR="00AE3180" w:rsidRPr="00AE3180" w:rsidRDefault="006C72A2" w:rsidP="00AE31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Миграционный прирост 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 xml:space="preserve">(снижение) </w:t>
      </w:r>
      <w:r w:rsidR="00AE3180" w:rsidRPr="00AE3180">
        <w:rPr>
          <w:rFonts w:ascii="Times New Roman" w:eastAsia="Times New Roman" w:hAnsi="Times New Roman" w:cs="Times New Roman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3180"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 xml:space="preserve">-61 </w:t>
      </w:r>
      <w:r w:rsidR="00AE3180" w:rsidRPr="00AE3180">
        <w:rPr>
          <w:rFonts w:ascii="Times New Roman" w:eastAsia="Times New Roman" w:hAnsi="Times New Roman" w:cs="Times New Roman"/>
          <w:sz w:val="24"/>
          <w:szCs w:val="24"/>
        </w:rPr>
        <w:t xml:space="preserve">человек, по оценке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3180"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="00AE3180" w:rsidRPr="00AE3180">
        <w:rPr>
          <w:rFonts w:ascii="Times New Roman" w:eastAsia="Times New Roman" w:hAnsi="Times New Roman" w:cs="Times New Roman"/>
          <w:sz w:val="24"/>
          <w:szCs w:val="24"/>
        </w:rPr>
        <w:t xml:space="preserve">человек, 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3180" w:rsidRPr="00AE3180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 xml:space="preserve"> прирост составит 10</w:t>
      </w:r>
      <w:r w:rsidR="00AE3180" w:rsidRPr="00AE3180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E3180" w:rsidRPr="00AE3180" w:rsidRDefault="00AE3180" w:rsidP="00AE31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80">
        <w:rPr>
          <w:rFonts w:ascii="Times New Roman" w:eastAsia="Times New Roman" w:hAnsi="Times New Roman" w:cs="Times New Roman"/>
          <w:sz w:val="24"/>
          <w:szCs w:val="24"/>
        </w:rPr>
        <w:t>На данном этапе повышение рождаемости является основным направлением,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численности.</w:t>
      </w:r>
    </w:p>
    <w:p w:rsidR="00AE3180" w:rsidRDefault="00AE3180" w:rsidP="00AE318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80">
        <w:rPr>
          <w:rFonts w:ascii="Times New Roman" w:eastAsia="Times New Roman" w:hAnsi="Times New Roman" w:cs="Times New Roman"/>
          <w:sz w:val="24"/>
          <w:szCs w:val="24"/>
        </w:rPr>
        <w:t xml:space="preserve"> Все позитивное, что делается в городе: обеспечение устойчивого роста доходов населения, улучшение жилищных условий граждан, обеспечение доступности и повышение качества медицинских услуг, защита материнства и детства – направлено, в конечном счете, на решение демографических проблем.</w:t>
      </w:r>
    </w:p>
    <w:p w:rsidR="00644B87" w:rsidRPr="00644B87" w:rsidRDefault="00644B87" w:rsidP="00382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87">
        <w:rPr>
          <w:rFonts w:ascii="Times New Roman" w:eastAsia="Times New Roman" w:hAnsi="Times New Roman" w:cs="Times New Roman"/>
          <w:sz w:val="24"/>
          <w:szCs w:val="24"/>
        </w:rPr>
        <w:t>Среднегодовая численность экономически активного населения в городе в среднесрочной перспективе останется практически на одном уровне и будет колебаться в пределах 5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4B87">
        <w:rPr>
          <w:rFonts w:ascii="Times New Roman" w:eastAsia="Times New Roman" w:hAnsi="Times New Roman" w:cs="Times New Roman"/>
          <w:sz w:val="24"/>
          <w:szCs w:val="24"/>
        </w:rPr>
        <w:t xml:space="preserve">00 человек. Численность занятого населения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4B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2B3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44B87">
        <w:rPr>
          <w:rFonts w:ascii="Times New Roman" w:eastAsia="Times New Roman" w:hAnsi="Times New Roman" w:cs="Times New Roman"/>
          <w:sz w:val="24"/>
          <w:szCs w:val="24"/>
        </w:rPr>
        <w:t xml:space="preserve"> годах сохранится практически на уровне 20</w:t>
      </w:r>
      <w:r w:rsidR="00C1515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B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4B87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247715" w:rsidRDefault="00644B87" w:rsidP="00382D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B87">
        <w:rPr>
          <w:rFonts w:ascii="Times New Roman" w:eastAsia="Times New Roman" w:hAnsi="Times New Roman" w:cs="Times New Roman"/>
          <w:sz w:val="24"/>
          <w:szCs w:val="24"/>
        </w:rPr>
        <w:t>Из числа работающих на предприятиях и организациях города Суража, наибольший удельный вес составляют работающие в промышленности и в сфере потребительского рынка. В прогнозируемом периоде значительных изменений в отраслевой структуре занятости не произойдет.</w:t>
      </w:r>
    </w:p>
    <w:p w:rsidR="00EC5966" w:rsidRPr="00B13D85" w:rsidRDefault="00EC5966" w:rsidP="00644B8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показатели занятости населения</w:t>
      </w:r>
    </w:p>
    <w:p w:rsidR="00EC5966" w:rsidRPr="00B13D85" w:rsidRDefault="00EC5966" w:rsidP="00EC59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>Таблица №2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697"/>
        <w:gridCol w:w="757"/>
        <w:gridCol w:w="685"/>
        <w:gridCol w:w="697"/>
        <w:gridCol w:w="670"/>
        <w:gridCol w:w="776"/>
        <w:gridCol w:w="992"/>
        <w:gridCol w:w="850"/>
        <w:gridCol w:w="851"/>
      </w:tblGrid>
      <w:tr w:rsidR="00892B3F" w:rsidRPr="00B13D85" w:rsidTr="00865353">
        <w:tc>
          <w:tcPr>
            <w:tcW w:w="2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B13D85" w:rsidRDefault="00892B3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B13D85" w:rsidRDefault="00892B3F" w:rsidP="006B7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92B3F" w:rsidRPr="00B13D85" w:rsidRDefault="00892B3F" w:rsidP="006B7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B13D85" w:rsidRDefault="00892B3F" w:rsidP="006B7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92B3F" w:rsidRPr="00B13D85" w:rsidRDefault="00892B3F" w:rsidP="006B7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92B3F" w:rsidRPr="00C1515A" w:rsidRDefault="00892B3F" w:rsidP="006B7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5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15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92B3F" w:rsidRPr="00B13D85" w:rsidRDefault="00892B3F" w:rsidP="006B7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5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92B3F" w:rsidRPr="00B13D85" w:rsidRDefault="00892B3F" w:rsidP="006B7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тчет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  <w:p w:rsidR="00892B3F" w:rsidRPr="00B13D85" w:rsidRDefault="00892B3F" w:rsidP="006B7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года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B13D85" w:rsidRDefault="00892B3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тчет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  <w:p w:rsidR="00892B3F" w:rsidRPr="00B13D85" w:rsidRDefault="00892B3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года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892B3F" w:rsidRDefault="00892B3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Оценка </w:t>
            </w:r>
          </w:p>
          <w:p w:rsidR="00892B3F" w:rsidRDefault="00892B3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2023 </w:t>
            </w:r>
          </w:p>
          <w:p w:rsidR="00892B3F" w:rsidRPr="00B13D85" w:rsidRDefault="00892B3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B13D85" w:rsidRDefault="00892B3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892B3F" w:rsidRPr="00B13D85" w:rsidTr="009B2927">
        <w:tc>
          <w:tcPr>
            <w:tcW w:w="24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2B3F" w:rsidRPr="00B13D85" w:rsidRDefault="00892B3F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B3F" w:rsidRPr="00B13D85" w:rsidRDefault="00892B3F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B3F" w:rsidRPr="00B13D85" w:rsidRDefault="00892B3F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892B3F" w:rsidRPr="00073411" w:rsidRDefault="00892B3F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2B3F" w:rsidRPr="00B13D85" w:rsidRDefault="00892B3F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B3F" w:rsidRPr="00B13D85" w:rsidRDefault="00892B3F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892B3F" w:rsidRDefault="00892B3F" w:rsidP="00C151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B13D85" w:rsidRDefault="00892B3F" w:rsidP="00892B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B13D85" w:rsidRDefault="00892B3F" w:rsidP="00892B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B13D85" w:rsidRDefault="00892B3F" w:rsidP="00892B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  <w:r w:rsidRPr="00B1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92B3F" w:rsidRPr="00B13D85" w:rsidTr="00865353"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B13D85" w:rsidRDefault="00892B3F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населения в трудоспособном возрасте, чел.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6B7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6109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6B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hAnsi="Times New Roman" w:cs="Times New Roman"/>
                <w:sz w:val="20"/>
                <w:szCs w:val="20"/>
              </w:rPr>
              <w:t>5966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2B3F" w:rsidRPr="00474EB7" w:rsidRDefault="00892B3F" w:rsidP="006B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hAnsi="Times New Roman" w:cs="Times New Roman"/>
                <w:sz w:val="20"/>
                <w:szCs w:val="20"/>
              </w:rPr>
              <w:t>6111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2B3F" w:rsidRPr="00474EB7" w:rsidRDefault="00892B3F" w:rsidP="006B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C15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2B3F" w:rsidRPr="00474EB7" w:rsidRDefault="00892B3F" w:rsidP="00892B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892B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892B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892B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6270</w:t>
            </w:r>
          </w:p>
        </w:tc>
      </w:tr>
      <w:tr w:rsidR="00892B3F" w:rsidRPr="00B13D85" w:rsidTr="00865353"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B13D85" w:rsidRDefault="00892B3F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активное население (возраст с 15 до 72 лет), чел.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6B7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6B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2B3F" w:rsidRPr="00474EB7" w:rsidRDefault="00892B3F" w:rsidP="006B7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2B3F" w:rsidRPr="00474EB7" w:rsidRDefault="00892B3F" w:rsidP="006B7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474E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2B3F" w:rsidRPr="00474EB7" w:rsidRDefault="00892B3F" w:rsidP="00892B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892B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892B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892B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892B3F" w:rsidRPr="00B13D85" w:rsidTr="00865353">
        <w:tc>
          <w:tcPr>
            <w:tcW w:w="2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B13D85" w:rsidRDefault="00892B3F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D8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безработных, чел.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6B7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6B7C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B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2B3F" w:rsidRPr="00474EB7" w:rsidRDefault="00892B3F" w:rsidP="006B7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2B3F" w:rsidRPr="00474EB7" w:rsidRDefault="00892B3F" w:rsidP="006B7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892B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2B3F" w:rsidRDefault="00892B3F" w:rsidP="00C151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892B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892B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F" w:rsidRPr="00474EB7" w:rsidRDefault="00892B3F" w:rsidP="00892B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</w:tbl>
    <w:p w:rsidR="00394866" w:rsidRPr="00394866" w:rsidRDefault="00394866" w:rsidP="003948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66">
        <w:rPr>
          <w:rFonts w:ascii="Times New Roman" w:eastAsia="Times New Roman" w:hAnsi="Times New Roman" w:cs="Times New Roman"/>
          <w:sz w:val="24"/>
          <w:szCs w:val="24"/>
        </w:rPr>
        <w:t xml:space="preserve">Число безработных, зарегистрированных в ГУ «Центр занятости населения по </w:t>
      </w:r>
      <w:proofErr w:type="spellStart"/>
      <w:r w:rsidRPr="00394866">
        <w:rPr>
          <w:rFonts w:ascii="Times New Roman" w:eastAsia="Times New Roman" w:hAnsi="Times New Roman" w:cs="Times New Roman"/>
          <w:sz w:val="24"/>
          <w:szCs w:val="24"/>
        </w:rPr>
        <w:t>Суражскому</w:t>
      </w:r>
      <w:proofErr w:type="spellEnd"/>
      <w:r w:rsidRPr="00394866">
        <w:rPr>
          <w:rFonts w:ascii="Times New Roman" w:eastAsia="Times New Roman" w:hAnsi="Times New Roman" w:cs="Times New Roman"/>
          <w:sz w:val="24"/>
          <w:szCs w:val="24"/>
        </w:rPr>
        <w:t xml:space="preserve"> району» </w:t>
      </w:r>
      <w:proofErr w:type="gramStart"/>
      <w:r w:rsidRPr="0039486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B1DAD">
        <w:rPr>
          <w:rFonts w:ascii="Times New Roman" w:eastAsia="Times New Roman" w:hAnsi="Times New Roman" w:cs="Times New Roman"/>
          <w:sz w:val="24"/>
          <w:szCs w:val="24"/>
        </w:rPr>
        <w:t>конец</w:t>
      </w:r>
      <w:proofErr w:type="gramEnd"/>
      <w:r w:rsidR="00EB1DA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94866">
        <w:rPr>
          <w:rFonts w:ascii="Times New Roman" w:eastAsia="Times New Roman" w:hAnsi="Times New Roman" w:cs="Times New Roman"/>
          <w:sz w:val="24"/>
          <w:szCs w:val="24"/>
        </w:rPr>
        <w:t>г. по город</w:t>
      </w:r>
      <w:r w:rsidR="00EB1D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4866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EB1DAD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394866">
        <w:rPr>
          <w:rFonts w:ascii="Times New Roman" w:eastAsia="Times New Roman" w:hAnsi="Times New Roman" w:cs="Times New Roman"/>
          <w:sz w:val="24"/>
          <w:szCs w:val="24"/>
        </w:rPr>
        <w:t xml:space="preserve"> человек. Уровень зарегистрированной безработицы составил  </w:t>
      </w:r>
      <w:r w:rsidR="00C95FBE">
        <w:rPr>
          <w:rFonts w:ascii="Times New Roman" w:eastAsia="Times New Roman" w:hAnsi="Times New Roman" w:cs="Times New Roman"/>
          <w:sz w:val="24"/>
          <w:szCs w:val="24"/>
        </w:rPr>
        <w:t>1,</w:t>
      </w:r>
      <w:r w:rsidR="00EB1DA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4866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394866" w:rsidRDefault="00394866" w:rsidP="003948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66">
        <w:rPr>
          <w:rFonts w:ascii="Times New Roman" w:eastAsia="Times New Roman" w:hAnsi="Times New Roman" w:cs="Times New Roman"/>
          <w:sz w:val="24"/>
          <w:szCs w:val="24"/>
        </w:rPr>
        <w:t xml:space="preserve"> В городе Сураже имеется база для подготовки специалистов: преподавателей в педагогическом колледже имени Пушкина, специалистов в филиале Брянского института управления и бизнеса, специалистов рабочих профессий в аграрно-промышленном техникуме. Следовательно, первостепенная задача стоит в обеспечении рабочими местами экономически активное население, их финансовая поддержка с целью закрепления трудовых ресурсов в городе. 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0C71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предприятиями города было отгружено товаров собственного производства, выполнено работ и услуг собственными силами по всем видам экономической деятельности в размере 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 xml:space="preserve">11430 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>млн. рублей</w:t>
      </w:r>
      <w:r w:rsidR="00040F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 xml:space="preserve">темп роста составил 116,3% к уровню </w:t>
      </w:r>
      <w:r w:rsidR="00040FA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0FA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. По оценке,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отгрузка составит </w:t>
      </w:r>
      <w:r w:rsidR="00040F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1150</w:t>
      </w:r>
      <w:r w:rsidR="0004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>млн. рублей (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97,6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>%), по прогнозу.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Основную долю в объеме отгруженных товаров собственного производства, выполненных работ и услуг собственными силами предприятия занимают обрабатывающие производства.</w:t>
      </w:r>
    </w:p>
    <w:p w:rsidR="00C55510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0C71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объем отгруженных товаров собственного производства, выполненных работ и услуг собственными силами предприятий обрабатывающих производств составил в общем объеме 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 xml:space="preserve">10877 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>млн. рублей (</w:t>
      </w:r>
      <w:r w:rsidR="000C71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>Инвестиции в основной капитал являются одним из основных факторов, способствующих достижению показателей в сфере материального производства.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объем инвестиций в основной капитал составил 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1496304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 xml:space="preserve">в 1,8 раза 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>к уровню предыдущего года.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>Потребительский рынок является узловым звеном экономики города, в котором пересекаются интересы государства, предприятий и предпринимателей, производящих и реализующих продукцию и оказывающие потребительские услуги, и потребителей.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Потребительский рынок города состоит из предприятий розничной торговли и организаций, представляющих платные услуги.</w:t>
      </w:r>
    </w:p>
    <w:p w:rsidR="006D14CB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оборот розничной торговли составил 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1362,6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млн. рублей (1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2,7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>%). По оценке, в 202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этот показатель составит 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520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млн. рублей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1C9A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AD0A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оборот общественного питания составил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,4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млн. рублей (</w:t>
      </w:r>
      <w:r w:rsidR="00AD0AD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9,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%). По оценке,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году этот показатель составит 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5510">
        <w:rPr>
          <w:rFonts w:ascii="Times New Roman" w:eastAsia="Times New Roman" w:hAnsi="Times New Roman" w:cs="Times New Roman"/>
          <w:sz w:val="24"/>
          <w:szCs w:val="24"/>
        </w:rPr>
        <w:t>7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млн. рублей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>Товарная насыщенность потребительского рынка носит устойчивый характер и в полной мере соответствует платежеспособному спросу на важнейшие продукты питания, товары легкой промышленности и культурно-бытового назначения. Объем товарных запасов сохранится на оптимальном уровне.</w:t>
      </w:r>
    </w:p>
    <w:p w:rsidR="00DF4374" w:rsidRP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города расположены МУП «Рынок», 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торговый павильон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«Ипуть», 3 универсама «Магнит», </w:t>
      </w:r>
      <w:r w:rsidR="006D14C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универсама «Пятерочка». Все это позволяет поддерживать торговое обслуживание и ассортимент реализуемой продукции на качественном уровне.</w:t>
      </w:r>
    </w:p>
    <w:p w:rsidR="00DF4374" w:rsidRDefault="00DF4374" w:rsidP="00DF4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города Суража население пользуется услугами объектов бытового обслуживания: парикмахерскими, баней, ателье по пошиву швейных и трикотажных изделий и др.</w:t>
      </w:r>
    </w:p>
    <w:p w:rsidR="00DD054B" w:rsidRPr="00C55510" w:rsidRDefault="00DD054B" w:rsidP="00DF43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 </w:t>
      </w:r>
    </w:p>
    <w:p w:rsidR="00DD054B" w:rsidRPr="00C55510" w:rsidRDefault="00DD054B" w:rsidP="00DD05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5510">
        <w:rPr>
          <w:rFonts w:ascii="Times New Roman" w:eastAsia="Calibri" w:hAnsi="Times New Roman" w:cs="Times New Roman"/>
          <w:sz w:val="24"/>
          <w:szCs w:val="24"/>
          <w:lang w:eastAsia="en-US"/>
        </w:rPr>
        <w:t>В приложении к пояснительной записке п</w:t>
      </w:r>
      <w:r w:rsidRPr="00C55510">
        <w:rPr>
          <w:rFonts w:ascii="Times New Roman" w:eastAsia="Times New Roman" w:hAnsi="Times New Roman" w:cs="Times New Roman"/>
          <w:sz w:val="24"/>
          <w:szCs w:val="24"/>
        </w:rPr>
        <w:t xml:space="preserve">рогноза социально-экономического развития </w:t>
      </w:r>
      <w:r w:rsidR="009C2D06" w:rsidRPr="00C55510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Pr="00C5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510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ст. 173 Бюджетного кодекса РФ, представлен сравнительный анализ основных показателей прогнозов социально-экономического развития с указанием причин и факторов прогнозируемых изменений.</w:t>
      </w:r>
    </w:p>
    <w:p w:rsidR="00DD054B" w:rsidRPr="00B13D85" w:rsidRDefault="00DD054B" w:rsidP="00DD054B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551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 статьи 169 Бюджетного кодекса РФ прогноз социально-экономического развития территории является основой для составления проекта бюджета.</w:t>
      </w:r>
    </w:p>
    <w:p w:rsidR="00914647" w:rsidRDefault="00EC5966" w:rsidP="0091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  <w:r w:rsidR="00914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4647" w:rsidRPr="00914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Суражского городского поселения  Суражского муниципального района Брянской области </w:t>
      </w:r>
      <w:r w:rsidR="0011415C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="00914647" w:rsidRPr="00914647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EC5966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3D85">
        <w:rPr>
          <w:rFonts w:ascii="Times New Roman" w:eastAsia="Times New Roman" w:hAnsi="Times New Roman" w:cs="Times New Roman"/>
          <w:sz w:val="24"/>
          <w:szCs w:val="24"/>
        </w:rPr>
        <w:t>Проект решения администрацией Суражского района внесен в Контрольно-счётную палату Суражского муниципального района 1</w:t>
      </w:r>
      <w:r w:rsidR="005B21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45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B13D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п. 1 ст. 185 Бюджетного кодекса, п. 1 статьи 4 решения Совета народных депутатов  города </w:t>
      </w:r>
      <w:r w:rsidRPr="00C41E89">
        <w:rPr>
          <w:rFonts w:ascii="Times New Roman" w:eastAsia="Times New Roman" w:hAnsi="Times New Roman" w:cs="Times New Roman"/>
          <w:sz w:val="24"/>
          <w:szCs w:val="24"/>
        </w:rPr>
        <w:t xml:space="preserve">Суража от 23.10.2015 года №73 «О порядке составления, рассмотрения и утверждения бюджета </w:t>
      </w:r>
      <w:r w:rsidR="009C2D06" w:rsidRPr="00C41E89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Pr="00C41E89">
        <w:rPr>
          <w:rFonts w:ascii="Times New Roman" w:eastAsia="Times New Roman" w:hAnsi="Times New Roman" w:cs="Times New Roman"/>
          <w:sz w:val="24"/>
          <w:szCs w:val="24"/>
        </w:rPr>
        <w:t>» (с учетом внесенных изменений от 21.11.2016 года №122).</w:t>
      </w:r>
      <w:proofErr w:type="gramEnd"/>
    </w:p>
    <w:p w:rsidR="0052236E" w:rsidRDefault="0052236E" w:rsidP="005B2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52236E">
        <w:rPr>
          <w:rFonts w:ascii="Times New Roman" w:hAnsi="Times New Roman" w:cs="Times New Roman"/>
          <w:sz w:val="24"/>
          <w:szCs w:val="24"/>
        </w:rPr>
        <w:t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(далее – Закон №131-ФЗ) проект бюджета официально опубликован.</w:t>
      </w:r>
    </w:p>
    <w:p w:rsidR="0052236E" w:rsidRPr="0052236E" w:rsidRDefault="0052236E" w:rsidP="0052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6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2236E">
        <w:rPr>
          <w:rFonts w:ascii="Times New Roman" w:eastAsia="Times New Roman" w:hAnsi="Times New Roman" w:cs="Times New Roman"/>
          <w:sz w:val="24"/>
          <w:szCs w:val="24"/>
        </w:rPr>
        <w:t>В соответствии с пп.2 пункта 3 статьи 28 Закона №131-ФЗ проект бюджета  вынесен на публичные слушания.</w:t>
      </w:r>
    </w:p>
    <w:p w:rsidR="00EC5966" w:rsidRPr="00B13D85" w:rsidRDefault="00C73B5F" w:rsidP="00C7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>Представленные для экспертизы документы с</w:t>
      </w:r>
      <w:r w:rsidR="00EC5966" w:rsidRPr="00B13D85">
        <w:rPr>
          <w:rFonts w:ascii="Times New Roman" w:eastAsia="Times New Roman" w:hAnsi="Times New Roman" w:cs="Times New Roman"/>
          <w:sz w:val="24"/>
          <w:szCs w:val="24"/>
        </w:rPr>
        <w:t>оответств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уют</w:t>
      </w:r>
      <w:r w:rsidR="00EC5966" w:rsidRPr="00B13D85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C5966" w:rsidRPr="00B13D85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</w:t>
      </w:r>
      <w:r w:rsidR="00C159FE">
        <w:rPr>
          <w:rFonts w:ascii="Times New Roman" w:eastAsia="Times New Roman" w:hAnsi="Times New Roman" w:cs="Times New Roman"/>
          <w:sz w:val="24"/>
          <w:szCs w:val="24"/>
        </w:rPr>
        <w:t xml:space="preserve"> в части материалов и документов, представленных одновременно с проектом бюджета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5966" w:rsidRPr="00B13D85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EC5966" w:rsidRPr="00B13D85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муниципального образования город Сураж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годы разработаны в целях определения подходов к формированию основных характеристик и прогнозируемых параметров проекта бюджета </w:t>
      </w:r>
      <w:r w:rsidR="0011415C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, обеспечивающих устойчивость и сбалансированность бюджета</w:t>
      </w:r>
      <w:r w:rsidR="006B10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5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города Сураж направлены на развитие экономики, социальной стабильности, повышения уровня собираемости собственных доходов. </w:t>
      </w:r>
    </w:p>
    <w:p w:rsidR="00EC5966" w:rsidRPr="00B13D85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r w:rsidR="009C2D06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45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844568">
        <w:rPr>
          <w:rFonts w:ascii="Times New Roman" w:eastAsia="Times New Roman" w:hAnsi="Times New Roman" w:cs="Times New Roman"/>
          <w:sz w:val="24"/>
          <w:szCs w:val="24"/>
        </w:rPr>
        <w:t>на период до 2026 года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Pr="00B13D85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Исполнена статья 184.1 БК РФ в части состава показателей, утверждаемых в проекте </w:t>
      </w:r>
      <w:r w:rsidR="00FD5628">
        <w:rPr>
          <w:rFonts w:ascii="Times New Roman" w:eastAsia="Times New Roman" w:hAnsi="Times New Roman" w:cs="Times New Roman"/>
          <w:sz w:val="24"/>
          <w:szCs w:val="24"/>
        </w:rPr>
        <w:t xml:space="preserve">решения о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бюдже</w:t>
      </w:r>
      <w:r w:rsidR="006910A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D562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D06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="00CB281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456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281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44568">
        <w:rPr>
          <w:rFonts w:ascii="Times New Roman" w:eastAsia="Times New Roman" w:hAnsi="Times New Roman" w:cs="Times New Roman"/>
          <w:sz w:val="24"/>
          <w:szCs w:val="24"/>
        </w:rPr>
        <w:t xml:space="preserve"> (пункт 1)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5966" w:rsidRPr="00B13D85" w:rsidRDefault="00EC5966" w:rsidP="00EC59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  общий объем доходов бюджета </w:t>
      </w:r>
      <w:r w:rsidR="00CB281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568">
        <w:rPr>
          <w:rFonts w:ascii="Times New Roman" w:eastAsia="Times New Roman" w:hAnsi="Times New Roman" w:cs="Times New Roman"/>
          <w:sz w:val="24"/>
          <w:szCs w:val="24"/>
        </w:rPr>
        <w:t>148094,6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EC5966" w:rsidRPr="00B13D85" w:rsidRDefault="00EC5966" w:rsidP="00EC59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>  общий объем расходов бюджета  –</w:t>
      </w:r>
      <w:r w:rsidR="00763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568">
        <w:rPr>
          <w:rFonts w:ascii="Times New Roman" w:eastAsia="Times New Roman" w:hAnsi="Times New Roman" w:cs="Times New Roman"/>
          <w:sz w:val="24"/>
          <w:szCs w:val="24"/>
        </w:rPr>
        <w:t>148094,6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  тыс. руб.</w:t>
      </w:r>
    </w:p>
    <w:p w:rsidR="00EC5966" w:rsidRDefault="00EC5966" w:rsidP="00EC59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>  дефицит бюджета</w:t>
      </w:r>
      <w:r w:rsidR="00CB2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– в сумме 0,0 тыс. руб.</w:t>
      </w:r>
    </w:p>
    <w:p w:rsidR="00F94599" w:rsidRPr="00EA5B80" w:rsidRDefault="00F94599" w:rsidP="009C17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5B80">
        <w:rPr>
          <w:rFonts w:ascii="Times New Roman" w:hAnsi="Times New Roman" w:cs="Times New Roman"/>
          <w:sz w:val="24"/>
          <w:szCs w:val="24"/>
        </w:rPr>
        <w:t>Утверждены основные характеристики планового периода</w:t>
      </w:r>
      <w:r w:rsidR="00844568">
        <w:rPr>
          <w:rFonts w:ascii="Times New Roman" w:hAnsi="Times New Roman" w:cs="Times New Roman"/>
          <w:sz w:val="24"/>
          <w:szCs w:val="24"/>
        </w:rPr>
        <w:t xml:space="preserve"> (пункт 2)</w:t>
      </w:r>
      <w:r w:rsidRPr="00EA5B80">
        <w:rPr>
          <w:rFonts w:ascii="Times New Roman" w:hAnsi="Times New Roman" w:cs="Times New Roman"/>
          <w:sz w:val="24"/>
          <w:szCs w:val="24"/>
        </w:rPr>
        <w:t>:</w:t>
      </w:r>
    </w:p>
    <w:p w:rsidR="00F94599" w:rsidRDefault="00F94599" w:rsidP="00EC59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</w:t>
      </w:r>
      <w:r w:rsidR="00732909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нозируемый объем доходов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456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844568">
        <w:rPr>
          <w:rFonts w:ascii="Times New Roman" w:eastAsia="Times New Roman" w:hAnsi="Times New Roman" w:cs="Times New Roman"/>
          <w:sz w:val="24"/>
          <w:szCs w:val="24"/>
        </w:rPr>
        <w:t>79741,7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4456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844568">
        <w:rPr>
          <w:rFonts w:ascii="Times New Roman" w:eastAsia="Times New Roman" w:hAnsi="Times New Roman" w:cs="Times New Roman"/>
          <w:sz w:val="24"/>
          <w:szCs w:val="24"/>
        </w:rPr>
        <w:t>81751,7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021E7F" w:rsidRPr="0049457A" w:rsidRDefault="00F94599" w:rsidP="00021E7F">
      <w:pPr>
        <w:pStyle w:val="af3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49457A">
        <w:rPr>
          <w:sz w:val="24"/>
          <w:szCs w:val="24"/>
        </w:rPr>
        <w:t xml:space="preserve">- общий объем расходов </w:t>
      </w:r>
      <w:r w:rsidR="00021E7F" w:rsidRPr="0049457A">
        <w:rPr>
          <w:sz w:val="24"/>
          <w:szCs w:val="24"/>
        </w:rPr>
        <w:t>на 202</w:t>
      </w:r>
      <w:r w:rsidR="00844568" w:rsidRPr="0049457A">
        <w:rPr>
          <w:sz w:val="24"/>
          <w:szCs w:val="24"/>
        </w:rPr>
        <w:t>5</w:t>
      </w:r>
      <w:r w:rsidR="00021E7F" w:rsidRPr="0049457A">
        <w:rPr>
          <w:sz w:val="24"/>
          <w:szCs w:val="24"/>
        </w:rPr>
        <w:t xml:space="preserve"> год в сумме </w:t>
      </w:r>
      <w:r w:rsidR="00844568" w:rsidRPr="0049457A">
        <w:rPr>
          <w:sz w:val="24"/>
          <w:szCs w:val="24"/>
        </w:rPr>
        <w:t>79741,7</w:t>
      </w:r>
      <w:r w:rsidR="00021E7F" w:rsidRPr="0049457A">
        <w:rPr>
          <w:sz w:val="24"/>
          <w:szCs w:val="24"/>
        </w:rPr>
        <w:t xml:space="preserve"> тыс. рублей, </w:t>
      </w:r>
      <w:r w:rsidR="0049457A" w:rsidRPr="0049457A">
        <w:rPr>
          <w:sz w:val="24"/>
          <w:szCs w:val="24"/>
        </w:rPr>
        <w:t xml:space="preserve">в том числе условно утвержденные расходы в сумме 1691,7 тыс. рублей, </w:t>
      </w:r>
      <w:r w:rsidR="00021E7F" w:rsidRPr="0049457A">
        <w:rPr>
          <w:sz w:val="24"/>
          <w:szCs w:val="24"/>
        </w:rPr>
        <w:t>на 202</w:t>
      </w:r>
      <w:r w:rsidR="00844568" w:rsidRPr="0049457A">
        <w:rPr>
          <w:sz w:val="24"/>
          <w:szCs w:val="24"/>
        </w:rPr>
        <w:t>6</w:t>
      </w:r>
      <w:r w:rsidR="00021E7F" w:rsidRPr="0049457A">
        <w:rPr>
          <w:sz w:val="24"/>
          <w:szCs w:val="24"/>
        </w:rPr>
        <w:t xml:space="preserve"> год в сумме </w:t>
      </w:r>
      <w:r w:rsidR="00844568" w:rsidRPr="0049457A">
        <w:rPr>
          <w:sz w:val="24"/>
          <w:szCs w:val="24"/>
        </w:rPr>
        <w:t>81751,7</w:t>
      </w:r>
      <w:r w:rsidR="00021E7F" w:rsidRPr="0049457A">
        <w:rPr>
          <w:sz w:val="24"/>
          <w:szCs w:val="24"/>
        </w:rPr>
        <w:t xml:space="preserve"> тыс. рублей</w:t>
      </w:r>
      <w:r w:rsidR="0049457A" w:rsidRPr="0049457A">
        <w:rPr>
          <w:sz w:val="24"/>
          <w:szCs w:val="24"/>
        </w:rPr>
        <w:t>, в том числе условно утвержденные расходы 3478,5 тыс. рублей</w:t>
      </w:r>
      <w:r w:rsidR="00021E7F" w:rsidRPr="0049457A">
        <w:rPr>
          <w:sz w:val="24"/>
          <w:szCs w:val="24"/>
        </w:rPr>
        <w:t>;</w:t>
      </w:r>
    </w:p>
    <w:p w:rsidR="00EC5966" w:rsidRPr="00021E7F" w:rsidRDefault="00EC5966" w:rsidP="00021E7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1E7F">
        <w:rPr>
          <w:rFonts w:ascii="Times New Roman" w:hAnsi="Times New Roman" w:cs="Times New Roman"/>
          <w:sz w:val="24"/>
          <w:szCs w:val="24"/>
        </w:rPr>
        <w:t xml:space="preserve">Кроме того, в соответствии с указанной статьей, проектом </w:t>
      </w:r>
      <w:proofErr w:type="gramStart"/>
      <w:r w:rsidRPr="00021E7F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021E7F">
        <w:rPr>
          <w:rFonts w:ascii="Times New Roman" w:hAnsi="Times New Roman" w:cs="Times New Roman"/>
          <w:sz w:val="24"/>
          <w:szCs w:val="24"/>
        </w:rPr>
        <w:t>:</w:t>
      </w:r>
    </w:p>
    <w:p w:rsidR="00EC5966" w:rsidRPr="00EA5B80" w:rsidRDefault="00EC5966" w:rsidP="00C8008B">
      <w:pPr>
        <w:pStyle w:val="af3"/>
        <w:numPr>
          <w:ilvl w:val="0"/>
          <w:numId w:val="5"/>
        </w:numPr>
        <w:ind w:hanging="720"/>
        <w:jc w:val="both"/>
        <w:rPr>
          <w:sz w:val="24"/>
          <w:szCs w:val="24"/>
        </w:rPr>
      </w:pPr>
      <w:r w:rsidRPr="00EA5B80">
        <w:rPr>
          <w:sz w:val="24"/>
          <w:szCs w:val="24"/>
        </w:rPr>
        <w:t>перечень главных администраторов доходов бюджета;</w:t>
      </w:r>
    </w:p>
    <w:p w:rsidR="00EC5966" w:rsidRPr="00B13D85" w:rsidRDefault="00EC5966" w:rsidP="00EC596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13D85">
        <w:rPr>
          <w:rFonts w:ascii="Wingdings" w:eastAsia="Times New Roman" w:hAnsi="Wingdings" w:cs="Arial"/>
          <w:sz w:val="24"/>
          <w:szCs w:val="24"/>
        </w:rPr>
        <w:t>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</w:t>
      </w:r>
      <w:r w:rsidR="00844568">
        <w:rPr>
          <w:rFonts w:ascii="Times New Roman" w:eastAsia="Times New Roman" w:hAnsi="Times New Roman" w:cs="Times New Roman"/>
          <w:sz w:val="24"/>
          <w:szCs w:val="24"/>
        </w:rPr>
        <w:t xml:space="preserve"> (пункт 7)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5966" w:rsidRPr="00B13D85" w:rsidRDefault="00EC5966" w:rsidP="00EC596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3D85">
        <w:rPr>
          <w:rFonts w:ascii="Wingdings" w:eastAsia="Times New Roman" w:hAnsi="Wingdings" w:cs="Arial"/>
          <w:sz w:val="24"/>
          <w:szCs w:val="24"/>
        </w:rPr>
        <w:t>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</w:t>
      </w:r>
      <w:r w:rsidR="001238BF">
        <w:rPr>
          <w:rFonts w:ascii="Times New Roman" w:eastAsia="Times New Roman" w:hAnsi="Times New Roman" w:cs="Times New Roman"/>
          <w:sz w:val="24"/>
          <w:szCs w:val="24"/>
        </w:rPr>
        <w:t xml:space="preserve"> (пункт 6)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5966" w:rsidRPr="00B13D85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Wingdings" w:eastAsia="Times New Roman" w:hAnsi="Wingdings" w:cs="Times New Roman"/>
          <w:sz w:val="24"/>
          <w:szCs w:val="24"/>
        </w:rPr>
        <w:t>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  объемы межбюджетных трансфертов, получаемых из других бюджетов бюджетной системы</w:t>
      </w:r>
      <w:r w:rsidR="004B3997">
        <w:rPr>
          <w:rFonts w:ascii="Times New Roman" w:eastAsia="Times New Roman" w:hAnsi="Times New Roman" w:cs="Times New Roman"/>
          <w:sz w:val="24"/>
          <w:szCs w:val="24"/>
        </w:rPr>
        <w:t xml:space="preserve"> (пункт 11)</w:t>
      </w:r>
    </w:p>
    <w:p w:rsidR="00EC5966" w:rsidRPr="00B13D85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A3C2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CA3C25">
        <w:rPr>
          <w:rFonts w:ascii="Times New Roman" w:eastAsia="Times New Roman" w:hAnsi="Times New Roman" w:cs="Times New Roman"/>
          <w:sz w:val="24"/>
          <w:szCs w:val="24"/>
        </w:rPr>
        <w:t>82756,6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C5966" w:rsidRPr="00B13D85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A3C2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57073F">
        <w:rPr>
          <w:rFonts w:ascii="Times New Roman" w:eastAsia="Times New Roman" w:hAnsi="Times New Roman" w:cs="Times New Roman"/>
          <w:sz w:val="24"/>
          <w:szCs w:val="24"/>
        </w:rPr>
        <w:t>12182,7</w:t>
      </w:r>
      <w:r w:rsidR="00763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EC5966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A3C2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B17111">
        <w:rPr>
          <w:rFonts w:ascii="Times New Roman" w:eastAsia="Times New Roman" w:hAnsi="Times New Roman" w:cs="Times New Roman"/>
          <w:sz w:val="24"/>
          <w:szCs w:val="24"/>
        </w:rPr>
        <w:t>12182,7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390DA2" w:rsidRPr="00B13D85" w:rsidRDefault="00390DA2" w:rsidP="0039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Wingdings" w:eastAsia="Times New Roman" w:hAnsi="Wingdings" w:cs="Times New Roman"/>
          <w:sz w:val="24"/>
          <w:szCs w:val="24"/>
        </w:rPr>
        <w:t>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  объемы межбюджетных трансфертов,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передаваемых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бюджетной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(пункт 12)</w:t>
      </w:r>
    </w:p>
    <w:p w:rsidR="00390DA2" w:rsidRPr="00B13D85" w:rsidRDefault="00390DA2" w:rsidP="0039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>
        <w:rPr>
          <w:rFonts w:ascii="Times New Roman" w:eastAsia="Times New Roman" w:hAnsi="Times New Roman" w:cs="Times New Roman"/>
          <w:sz w:val="24"/>
          <w:szCs w:val="24"/>
        </w:rPr>
        <w:t>700,0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90DA2" w:rsidRPr="00B13D85" w:rsidRDefault="00390DA2" w:rsidP="0039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700,0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390DA2" w:rsidRDefault="00390DA2" w:rsidP="0039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2026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>
        <w:rPr>
          <w:rFonts w:ascii="Times New Roman" w:eastAsia="Times New Roman" w:hAnsi="Times New Roman" w:cs="Times New Roman"/>
          <w:sz w:val="24"/>
          <w:szCs w:val="24"/>
        </w:rPr>
        <w:t>700,0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27369" w:rsidRPr="00B13D85" w:rsidRDefault="00427369" w:rsidP="004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Wingdings" w:eastAsia="Times New Roman" w:hAnsi="Wingdings" w:cs="Times New Roman"/>
          <w:sz w:val="24"/>
          <w:szCs w:val="24"/>
        </w:rPr>
        <w:t>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общий объем  бюджетных ассигнований дорожного фонда</w:t>
      </w:r>
      <w:r w:rsidR="00BF7A0C">
        <w:rPr>
          <w:rFonts w:ascii="Times New Roman" w:eastAsia="Times New Roman" w:hAnsi="Times New Roman" w:cs="Times New Roman"/>
          <w:sz w:val="24"/>
          <w:szCs w:val="24"/>
        </w:rPr>
        <w:t xml:space="preserve"> (ст. 179.4 </w:t>
      </w:r>
      <w:r w:rsidR="00BF7A0C" w:rsidRPr="00B13D85">
        <w:rPr>
          <w:rFonts w:ascii="Times New Roman" w:eastAsia="Times New Roman" w:hAnsi="Times New Roman" w:cs="Times New Roman"/>
          <w:sz w:val="24"/>
          <w:szCs w:val="24"/>
        </w:rPr>
        <w:t>БК РФ</w:t>
      </w:r>
      <w:r w:rsidR="00BF7A0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746B">
        <w:rPr>
          <w:rFonts w:ascii="Times New Roman" w:eastAsia="Times New Roman" w:hAnsi="Times New Roman" w:cs="Times New Roman"/>
          <w:sz w:val="24"/>
          <w:szCs w:val="24"/>
        </w:rPr>
        <w:t xml:space="preserve"> (пункт 10)</w:t>
      </w:r>
    </w:p>
    <w:p w:rsidR="00427369" w:rsidRPr="00B13D85" w:rsidRDefault="00427369" w:rsidP="004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974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E9746B">
        <w:rPr>
          <w:rFonts w:ascii="Times New Roman" w:eastAsia="Times New Roman" w:hAnsi="Times New Roman" w:cs="Times New Roman"/>
          <w:sz w:val="24"/>
          <w:szCs w:val="24"/>
        </w:rPr>
        <w:t>26244,2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27369" w:rsidRPr="00B13D85" w:rsidRDefault="00427369" w:rsidP="004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9746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E9746B">
        <w:rPr>
          <w:rFonts w:ascii="Times New Roman" w:eastAsia="Times New Roman" w:hAnsi="Times New Roman" w:cs="Times New Roman"/>
          <w:sz w:val="24"/>
          <w:szCs w:val="24"/>
        </w:rPr>
        <w:t>32400,5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427369" w:rsidRDefault="00427369" w:rsidP="00427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9746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E9746B">
        <w:rPr>
          <w:rFonts w:ascii="Times New Roman" w:eastAsia="Times New Roman" w:hAnsi="Times New Roman" w:cs="Times New Roman"/>
          <w:sz w:val="24"/>
          <w:szCs w:val="24"/>
        </w:rPr>
        <w:t>32419,5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8E6F1D" w:rsidRPr="00B13D85" w:rsidRDefault="008E6F1D" w:rsidP="008E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Wingdings" w:eastAsia="Times New Roman" w:hAnsi="Wingdings" w:cs="Times New Roman"/>
          <w:sz w:val="24"/>
          <w:szCs w:val="24"/>
        </w:rPr>
        <w:t>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размер резе</w:t>
      </w:r>
      <w:r w:rsidR="00BF7A0C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вного фонда</w:t>
      </w:r>
      <w:r w:rsidR="00BF7A0C">
        <w:rPr>
          <w:rFonts w:ascii="Times New Roman" w:eastAsia="Times New Roman" w:hAnsi="Times New Roman" w:cs="Times New Roman"/>
          <w:sz w:val="24"/>
          <w:szCs w:val="24"/>
        </w:rPr>
        <w:t xml:space="preserve"> (ст. 81 БК РФ)</w:t>
      </w:r>
      <w:r w:rsidR="009C7812">
        <w:rPr>
          <w:rFonts w:ascii="Times New Roman" w:eastAsia="Times New Roman" w:hAnsi="Times New Roman" w:cs="Times New Roman"/>
          <w:sz w:val="24"/>
          <w:szCs w:val="24"/>
        </w:rPr>
        <w:t xml:space="preserve"> (пункт 14)</w:t>
      </w:r>
    </w:p>
    <w:p w:rsidR="008E6F1D" w:rsidRPr="00B13D85" w:rsidRDefault="008E6F1D" w:rsidP="008E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C781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BF7A0C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8E6F1D" w:rsidRPr="00B13D85" w:rsidRDefault="008E6F1D" w:rsidP="008E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C78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</w:t>
      </w:r>
      <w:r w:rsidR="00297C4E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BF7A0C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8E6F1D" w:rsidRPr="00B13D85" w:rsidRDefault="008E6F1D" w:rsidP="008E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C781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297C4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F7A0C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C5966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Wingdings" w:eastAsia="Times New Roman" w:hAnsi="Wingdings" w:cs="Times New Roman"/>
          <w:sz w:val="24"/>
          <w:szCs w:val="24"/>
        </w:rPr>
        <w:t>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E09F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</w:t>
      </w:r>
      <w:r w:rsidR="00763DB8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763D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7369">
        <w:rPr>
          <w:rFonts w:ascii="Times New Roman" w:eastAsia="Times New Roman" w:hAnsi="Times New Roman" w:cs="Times New Roman"/>
          <w:sz w:val="24"/>
          <w:szCs w:val="24"/>
        </w:rPr>
        <w:t>на 01.01.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E09F7">
        <w:rPr>
          <w:rFonts w:ascii="Times New Roman" w:eastAsia="Times New Roman" w:hAnsi="Times New Roman" w:cs="Times New Roman"/>
          <w:sz w:val="24"/>
          <w:szCs w:val="24"/>
        </w:rPr>
        <w:t>6</w:t>
      </w:r>
      <w:r w:rsidR="00427369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0,00 рублей, на 01.01.202</w:t>
      </w:r>
      <w:r w:rsidR="00AE09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427369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0,00 рублей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FC7" w:rsidRPr="00D83FC7" w:rsidRDefault="00D83FC7" w:rsidP="00D83FC7">
      <w:pPr>
        <w:pStyle w:val="af3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D83FC7">
        <w:rPr>
          <w:sz w:val="24"/>
          <w:szCs w:val="24"/>
        </w:rPr>
        <w:t xml:space="preserve">общий объем  бюджетных ассигнований </w:t>
      </w:r>
      <w:r w:rsidR="00575EBD">
        <w:rPr>
          <w:sz w:val="24"/>
          <w:szCs w:val="24"/>
        </w:rPr>
        <w:t xml:space="preserve">на исполнение публичных нормативных обязательств </w:t>
      </w:r>
      <w:r w:rsidRPr="00D83FC7">
        <w:rPr>
          <w:sz w:val="24"/>
          <w:szCs w:val="24"/>
        </w:rPr>
        <w:t xml:space="preserve"> (пункт </w:t>
      </w:r>
      <w:r w:rsidR="00575EBD">
        <w:rPr>
          <w:sz w:val="24"/>
          <w:szCs w:val="24"/>
        </w:rPr>
        <w:t>9</w:t>
      </w:r>
      <w:r w:rsidRPr="00D83FC7">
        <w:rPr>
          <w:sz w:val="24"/>
          <w:szCs w:val="24"/>
        </w:rPr>
        <w:t>)</w:t>
      </w:r>
    </w:p>
    <w:p w:rsidR="00D83FC7" w:rsidRPr="00B13D85" w:rsidRDefault="00D83FC7" w:rsidP="00D8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575EBD">
        <w:rPr>
          <w:rFonts w:ascii="Times New Roman" w:eastAsia="Times New Roman" w:hAnsi="Times New Roman" w:cs="Times New Roman"/>
          <w:sz w:val="24"/>
          <w:szCs w:val="24"/>
        </w:rPr>
        <w:t>40,0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D83FC7" w:rsidRPr="00B13D85" w:rsidRDefault="00D83FC7" w:rsidP="00D8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575EBD">
        <w:rPr>
          <w:rFonts w:ascii="Times New Roman" w:eastAsia="Times New Roman" w:hAnsi="Times New Roman" w:cs="Times New Roman"/>
          <w:sz w:val="24"/>
          <w:szCs w:val="24"/>
        </w:rPr>
        <w:t>40,0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D83FC7" w:rsidRDefault="00D83FC7" w:rsidP="00D83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>
        <w:rPr>
          <w:rFonts w:ascii="Times New Roman" w:eastAsia="Times New Roman" w:hAnsi="Times New Roman" w:cs="Times New Roman"/>
          <w:sz w:val="24"/>
          <w:szCs w:val="24"/>
        </w:rPr>
        <w:t>2026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  – </w:t>
      </w:r>
      <w:r w:rsidR="00575EBD">
        <w:rPr>
          <w:rFonts w:ascii="Times New Roman" w:eastAsia="Times New Roman" w:hAnsi="Times New Roman" w:cs="Times New Roman"/>
          <w:sz w:val="24"/>
          <w:szCs w:val="24"/>
        </w:rPr>
        <w:t>40,0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7DA2" w:rsidRPr="00C97DA2" w:rsidRDefault="00FA0621" w:rsidP="00E80FF1">
      <w:pPr>
        <w:pStyle w:val="af3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и структура источников внутреннего </w:t>
      </w:r>
      <w:r w:rsidRPr="00FA0621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дефицита бюджета (пункт 21).</w:t>
      </w:r>
    </w:p>
    <w:p w:rsidR="00EC5966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бюджетных кредитов и муниципальных гарантий </w:t>
      </w:r>
      <w:proofErr w:type="spellStart"/>
      <w:r w:rsidR="00BB7F7F">
        <w:rPr>
          <w:rFonts w:ascii="Times New Roman" w:eastAsia="Times New Roman" w:hAnsi="Times New Roman" w:cs="Times New Roman"/>
          <w:sz w:val="24"/>
          <w:szCs w:val="24"/>
        </w:rPr>
        <w:t>Суражским</w:t>
      </w:r>
      <w:proofErr w:type="spellEnd"/>
      <w:r w:rsidR="00BB7F7F">
        <w:rPr>
          <w:rFonts w:ascii="Times New Roman" w:eastAsia="Times New Roman" w:hAnsi="Times New Roman" w:cs="Times New Roman"/>
          <w:sz w:val="24"/>
          <w:szCs w:val="24"/>
        </w:rPr>
        <w:t xml:space="preserve"> городским  поселением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524E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</w:t>
      </w:r>
      <w:r w:rsidR="00BB7F7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 w:rsidR="00BB7F7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не планируется.</w:t>
      </w:r>
    </w:p>
    <w:p w:rsidR="00EC5966" w:rsidRPr="00B13D85" w:rsidRDefault="00EC5966" w:rsidP="00EC596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r w:rsidR="009C2D06">
        <w:rPr>
          <w:rFonts w:ascii="Times New Roman" w:eastAsia="Times New Roman" w:hAnsi="Times New Roman" w:cs="Times New Roman"/>
          <w:b/>
          <w:bCs/>
          <w:sz w:val="24"/>
          <w:szCs w:val="24"/>
        </w:rPr>
        <w:t>Суражского городского поселения</w:t>
      </w:r>
      <w:r w:rsidRPr="00B13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415C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 год и на плановый период 2025 и 2026 годов</w:t>
      </w:r>
      <w:r w:rsidRPr="00B13D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D642F" w:rsidRPr="00B13D85" w:rsidRDefault="00EC5966" w:rsidP="00EC5966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3D8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54160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3D85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97" w:type="dxa"/>
        <w:tblInd w:w="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992"/>
        <w:gridCol w:w="992"/>
        <w:gridCol w:w="993"/>
        <w:gridCol w:w="567"/>
        <w:gridCol w:w="992"/>
        <w:gridCol w:w="709"/>
        <w:gridCol w:w="992"/>
        <w:gridCol w:w="992"/>
      </w:tblGrid>
      <w:tr w:rsidR="00641A7F" w:rsidRPr="00EC5966" w:rsidTr="00946D39">
        <w:trPr>
          <w:trHeight w:val="255"/>
        </w:trPr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641A7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5003A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25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41A7F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</w:t>
            </w:r>
            <w:proofErr w:type="gramStart"/>
            <w:r w:rsidR="00641A7F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д-</w:t>
            </w:r>
            <w:proofErr w:type="gramEnd"/>
            <w:r w:rsidR="00641A7F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="00641A7F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</w:t>
            </w:r>
            <w:proofErr w:type="spellEnd"/>
          </w:p>
          <w:p w:rsidR="00641A7F" w:rsidRPr="00EC5966" w:rsidRDefault="00641A7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ка)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5003A4" w:rsidP="00C2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25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41A7F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5003A4" w:rsidP="00C2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25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41A7F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5003A4" w:rsidP="00C2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C25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41A7F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D0839" w:rsidRPr="00EC5966" w:rsidTr="00946D39">
        <w:trPr>
          <w:trHeight w:val="1020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A7F" w:rsidRPr="00EC5966" w:rsidRDefault="00641A7F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1A7F" w:rsidRPr="00EC5966" w:rsidRDefault="00641A7F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641A7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641A7F" w:rsidRPr="00EC5966" w:rsidRDefault="00641A7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641A7F" w:rsidP="005E5819">
            <w:pPr>
              <w:tabs>
                <w:tab w:val="left" w:pos="70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4CD" w:rsidRDefault="00641A7F" w:rsidP="00F654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proofErr w:type="spellStart"/>
            <w:r w:rsidR="00F65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</w:t>
            </w:r>
            <w:proofErr w:type="spellEnd"/>
          </w:p>
          <w:p w:rsidR="00641A7F" w:rsidRPr="00EC5966" w:rsidRDefault="00641A7F" w:rsidP="00F654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641A7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641A7F" w:rsidRPr="00EC5966" w:rsidRDefault="00641A7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4CD" w:rsidRDefault="00641A7F" w:rsidP="00F654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proofErr w:type="spellStart"/>
            <w:r w:rsidR="00F65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</w:t>
            </w:r>
            <w:proofErr w:type="spellEnd"/>
          </w:p>
          <w:p w:rsidR="00641A7F" w:rsidRPr="00EC5966" w:rsidRDefault="00641A7F" w:rsidP="00F654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641A7F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A7F" w:rsidRPr="00EC5966" w:rsidRDefault="00641A7F" w:rsidP="00F654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proofErr w:type="spellStart"/>
            <w:r w:rsidR="00F65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предыд</w:t>
            </w:r>
            <w:proofErr w:type="spellEnd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49357D" w:rsidRPr="00EC5966" w:rsidTr="00946D39">
        <w:trPr>
          <w:trHeight w:val="31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7D" w:rsidRPr="00EC5966" w:rsidRDefault="0049357D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466559,0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148094,6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-318464,4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79741,7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102,5</w:t>
            </w:r>
          </w:p>
        </w:tc>
      </w:tr>
      <w:tr w:rsidR="0049357D" w:rsidRPr="00EC5966" w:rsidTr="00946D39">
        <w:trPr>
          <w:trHeight w:val="34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7D" w:rsidRPr="00EC5966" w:rsidRDefault="0049357D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446866,0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148094,6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-298771,4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79741,7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102,5</w:t>
            </w:r>
          </w:p>
        </w:tc>
      </w:tr>
      <w:tr w:rsidR="0049357D" w:rsidRPr="00EC5966" w:rsidTr="00946D39">
        <w:trPr>
          <w:trHeight w:val="37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57D" w:rsidRPr="00EC5966" w:rsidRDefault="0049357D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-19693,0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57D" w:rsidRPr="0049357D" w:rsidRDefault="004935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EC5966" w:rsidRPr="009D642F" w:rsidRDefault="00EC5966" w:rsidP="00EC59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</w:t>
      </w:r>
      <w:r w:rsidR="00BF1095" w:rsidRPr="009D642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F588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F1095" w:rsidRPr="009D642F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 в сумме </w:t>
      </w:r>
      <w:r w:rsidR="005F5889">
        <w:rPr>
          <w:rFonts w:ascii="Times New Roman" w:eastAsia="Times New Roman" w:hAnsi="Times New Roman" w:cs="Times New Roman"/>
          <w:sz w:val="24"/>
          <w:szCs w:val="24"/>
        </w:rPr>
        <w:t>148094,6</w:t>
      </w:r>
      <w:r w:rsidR="00E5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ниже оценки уровня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F588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5889">
        <w:rPr>
          <w:rFonts w:ascii="Times New Roman" w:eastAsia="Times New Roman" w:hAnsi="Times New Roman" w:cs="Times New Roman"/>
          <w:sz w:val="24"/>
          <w:szCs w:val="24"/>
        </w:rPr>
        <w:t>318464,4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8625F">
        <w:rPr>
          <w:rFonts w:ascii="Times New Roman" w:eastAsia="Times New Roman" w:hAnsi="Times New Roman" w:cs="Times New Roman"/>
          <w:sz w:val="24"/>
          <w:szCs w:val="24"/>
        </w:rPr>
        <w:t>3,2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 xml:space="preserve"> раза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EC5966" w:rsidRPr="009D642F" w:rsidRDefault="00EC5966" w:rsidP="00EC59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862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 в сумме </w:t>
      </w:r>
      <w:r w:rsidR="00D8625F">
        <w:rPr>
          <w:rFonts w:ascii="Times New Roman" w:eastAsia="Times New Roman" w:hAnsi="Times New Roman" w:cs="Times New Roman"/>
          <w:sz w:val="24"/>
          <w:szCs w:val="24"/>
        </w:rPr>
        <w:t>148094,6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D8625F">
        <w:rPr>
          <w:rFonts w:ascii="Times New Roman" w:eastAsia="Times New Roman" w:hAnsi="Times New Roman" w:cs="Times New Roman"/>
          <w:sz w:val="24"/>
          <w:szCs w:val="24"/>
        </w:rPr>
        <w:t>298771,4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8625F">
        <w:rPr>
          <w:rFonts w:ascii="Times New Roman" w:eastAsia="Times New Roman" w:hAnsi="Times New Roman" w:cs="Times New Roman"/>
          <w:sz w:val="24"/>
          <w:szCs w:val="24"/>
        </w:rPr>
        <w:t>3,0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 xml:space="preserve"> раза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меньше оценки объёма расходов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862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год. Дефицит бюджета </w:t>
      </w:r>
      <w:r w:rsidR="00D8625F">
        <w:rPr>
          <w:rFonts w:ascii="Times New Roman" w:eastAsia="Times New Roman" w:hAnsi="Times New Roman" w:cs="Times New Roman"/>
          <w:sz w:val="24"/>
          <w:szCs w:val="24"/>
        </w:rPr>
        <w:t xml:space="preserve">проектом 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не предусмотрен.  </w:t>
      </w:r>
    </w:p>
    <w:p w:rsidR="00EC5966" w:rsidRPr="009D642F" w:rsidRDefault="00EC5966" w:rsidP="00EC59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и расходов бюджета  </w:t>
      </w:r>
      <w:r w:rsidR="00BF1095" w:rsidRPr="009D642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4756">
        <w:rPr>
          <w:rFonts w:ascii="Times New Roman" w:eastAsia="Times New Roman" w:hAnsi="Times New Roman" w:cs="Times New Roman"/>
          <w:sz w:val="24"/>
          <w:szCs w:val="24"/>
        </w:rPr>
        <w:t>5</w:t>
      </w:r>
      <w:r w:rsidR="00BF1095" w:rsidRPr="009D642F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 в сумме </w:t>
      </w:r>
      <w:r w:rsidR="00884756">
        <w:rPr>
          <w:rFonts w:ascii="Times New Roman" w:eastAsia="Times New Roman" w:hAnsi="Times New Roman" w:cs="Times New Roman"/>
          <w:sz w:val="24"/>
          <w:szCs w:val="24"/>
        </w:rPr>
        <w:t>79741,7</w:t>
      </w:r>
      <w:r w:rsidR="00F7141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>ыс. рублей, с у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меньшением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доходов и расходов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47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884756">
        <w:rPr>
          <w:rFonts w:ascii="Times New Roman" w:eastAsia="Times New Roman" w:hAnsi="Times New Roman" w:cs="Times New Roman"/>
          <w:sz w:val="24"/>
          <w:szCs w:val="24"/>
        </w:rPr>
        <w:t>46,2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EC5966" w:rsidRDefault="00EC5966" w:rsidP="00EC59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и расходов бюджета  </w:t>
      </w:r>
      <w:r w:rsidR="00F720F4" w:rsidRPr="009D642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4756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F720F4" w:rsidRPr="009D642F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 в сумме </w:t>
      </w:r>
      <w:r w:rsidR="00884756">
        <w:rPr>
          <w:rFonts w:ascii="Times New Roman" w:eastAsia="Times New Roman" w:hAnsi="Times New Roman" w:cs="Times New Roman"/>
          <w:sz w:val="24"/>
          <w:szCs w:val="24"/>
        </w:rPr>
        <w:t>81751,7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</w:t>
      </w:r>
      <w:r w:rsidR="00E61075">
        <w:rPr>
          <w:rFonts w:ascii="Times New Roman" w:eastAsia="Times New Roman" w:hAnsi="Times New Roman" w:cs="Times New Roman"/>
          <w:sz w:val="24"/>
          <w:szCs w:val="24"/>
        </w:rPr>
        <w:t>величением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доходов и расходов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47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884756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EC5966" w:rsidRPr="00346D15" w:rsidRDefault="00EC5966" w:rsidP="00EC5966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6D1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доходной части проекта бюджета</w:t>
      </w:r>
    </w:p>
    <w:p w:rsidR="00EC5966" w:rsidRPr="009D642F" w:rsidRDefault="00EC5966" w:rsidP="00EC5966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9D642F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9D642F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</w:t>
      </w:r>
      <w:r w:rsidRPr="009D642F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законодательства. При расчете собственных доходов использованы данные налоговой отчетности и статистические данные.</w:t>
      </w:r>
    </w:p>
    <w:p w:rsidR="00EC5966" w:rsidRPr="009D642F" w:rsidRDefault="00EC5966" w:rsidP="00EC5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показателей доходной части бюджета</w:t>
      </w:r>
      <w:r w:rsidR="000C09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C5966" w:rsidRPr="009D642F" w:rsidRDefault="00EC5966" w:rsidP="00EC5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312B1C">
        <w:rPr>
          <w:rFonts w:ascii="Times New Roman" w:eastAsia="Times New Roman" w:hAnsi="Times New Roman" w:cs="Times New Roman"/>
          <w:sz w:val="24"/>
          <w:szCs w:val="24"/>
        </w:rPr>
        <w:t>4</w:t>
      </w:r>
      <w:r w:rsidR="00346D15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21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951"/>
        <w:gridCol w:w="747"/>
        <w:gridCol w:w="996"/>
        <w:gridCol w:w="709"/>
        <w:gridCol w:w="992"/>
        <w:gridCol w:w="709"/>
      </w:tblGrid>
      <w:tr w:rsidR="00905E85" w:rsidRPr="00C116DA" w:rsidTr="004B588D">
        <w:trPr>
          <w:trHeight w:val="28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5003A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4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05E85"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</w:t>
            </w:r>
            <w:proofErr w:type="gramStart"/>
            <w:r w:rsidR="00905E85"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д-</w:t>
            </w:r>
            <w:proofErr w:type="gramEnd"/>
            <w:r w:rsidR="00905E85"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="00905E85"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</w:t>
            </w:r>
            <w:proofErr w:type="spellEnd"/>
          </w:p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ка)</w:t>
            </w:r>
            <w:proofErr w:type="gramEnd"/>
          </w:p>
        </w:tc>
        <w:tc>
          <w:tcPr>
            <w:tcW w:w="2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5003A4" w:rsidP="004474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4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05E85"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5003A4" w:rsidP="004474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4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05E85"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5003A4" w:rsidP="004474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4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05E85"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05E85" w:rsidRPr="00C116DA" w:rsidTr="004B588D">
        <w:trPr>
          <w:trHeight w:val="51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E85" w:rsidRPr="00C116DA" w:rsidRDefault="00905E85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E85" w:rsidRPr="00C116DA" w:rsidRDefault="00905E85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4474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4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4474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4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E85" w:rsidRPr="00C116DA" w:rsidRDefault="00905E85" w:rsidP="004474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47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283611" w:rsidRPr="00C75FE6" w:rsidTr="002B2003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1" w:rsidRPr="00963361" w:rsidRDefault="00283611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3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466559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148094,6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-318464,4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79741,7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81751,7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102,5</w:t>
            </w:r>
          </w:p>
        </w:tc>
      </w:tr>
      <w:tr w:rsidR="00283611" w:rsidRPr="00C75FE6" w:rsidTr="002B2003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1" w:rsidRPr="00C75FE6" w:rsidRDefault="00283611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F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CB7BB6" w:rsidP="00CB7B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64443,0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 w:rsidP="00CB7B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B7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18302,6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CB7BB6" w:rsidP="00CB7B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357ED7" w:rsidP="00CB7B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CB7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</w:t>
            </w:r>
          </w:p>
        </w:tc>
      </w:tr>
      <w:tr w:rsidR="00283611" w:rsidRPr="00C116DA" w:rsidTr="002B2003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1" w:rsidRPr="00C116DA" w:rsidRDefault="00283611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-1294,0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283611" w:rsidRPr="00C116DA" w:rsidTr="002B2003">
        <w:trPr>
          <w:trHeight w:val="13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11" w:rsidRPr="00C116DA" w:rsidRDefault="00283611" w:rsidP="00EC5966">
            <w:pPr>
              <w:spacing w:after="0" w:line="132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381664,4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82756,6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-298907,8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611" w:rsidRPr="00283611" w:rsidRDefault="002836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36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</w:tbl>
    <w:p w:rsidR="000D7453" w:rsidRDefault="000D7453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оходы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F19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 проекте бюджета ниже оценки </w:t>
      </w:r>
      <w:r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 бюджета за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F19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86004" w:rsidRPr="00C116D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F196D">
        <w:rPr>
          <w:rFonts w:ascii="Times New Roman" w:eastAsia="Times New Roman" w:hAnsi="Times New Roman" w:cs="Times New Roman"/>
          <w:sz w:val="24"/>
          <w:szCs w:val="24"/>
        </w:rPr>
        <w:t>68,3</w:t>
      </w:r>
      <w:r w:rsidR="00734186">
        <w:rPr>
          <w:rFonts w:ascii="Times New Roman" w:eastAsia="Times New Roman" w:hAnsi="Times New Roman" w:cs="Times New Roman"/>
          <w:sz w:val="24"/>
          <w:szCs w:val="24"/>
        </w:rPr>
        <w:t>%</w:t>
      </w:r>
      <w:r w:rsidR="00B86004" w:rsidRPr="00C116DA">
        <w:rPr>
          <w:rFonts w:ascii="Times New Roman" w:eastAsia="Times New Roman" w:hAnsi="Times New Roman" w:cs="Times New Roman"/>
          <w:sz w:val="24"/>
          <w:szCs w:val="24"/>
        </w:rPr>
        <w:t xml:space="preserve">. Снижение произошло 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>за счет</w:t>
      </w:r>
      <w:r w:rsidR="00734186">
        <w:rPr>
          <w:rFonts w:ascii="Times New Roman" w:eastAsia="Times New Roman" w:hAnsi="Times New Roman" w:cs="Times New Roman"/>
          <w:sz w:val="24"/>
          <w:szCs w:val="24"/>
        </w:rPr>
        <w:t xml:space="preserve"> всех источников доходов</w:t>
      </w:r>
      <w:r w:rsidR="00AF196D">
        <w:rPr>
          <w:rFonts w:ascii="Times New Roman" w:eastAsia="Times New Roman" w:hAnsi="Times New Roman" w:cs="Times New Roman"/>
          <w:sz w:val="24"/>
          <w:szCs w:val="24"/>
        </w:rPr>
        <w:t>, а именно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4186" w:rsidRDefault="0073418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налоговых доходов на </w:t>
      </w:r>
      <w:r w:rsidR="000400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7B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008E">
        <w:rPr>
          <w:rFonts w:ascii="Times New Roman" w:eastAsia="Times New Roman" w:hAnsi="Times New Roman" w:cs="Times New Roman"/>
          <w:sz w:val="24"/>
          <w:szCs w:val="24"/>
        </w:rPr>
        <w:t>,1</w:t>
      </w:r>
      <w:r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734186" w:rsidRDefault="0073418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неналоговых доходов на </w:t>
      </w:r>
      <w:r w:rsidR="00AF196D">
        <w:rPr>
          <w:rFonts w:ascii="Times New Roman" w:eastAsia="Times New Roman" w:hAnsi="Times New Roman" w:cs="Times New Roman"/>
          <w:sz w:val="24"/>
          <w:szCs w:val="24"/>
        </w:rPr>
        <w:t>60,2</w:t>
      </w:r>
      <w:r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0D7453" w:rsidRDefault="000D7453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на </w:t>
      </w:r>
      <w:r w:rsidR="00AF196D">
        <w:rPr>
          <w:rFonts w:ascii="Times New Roman" w:eastAsia="Times New Roman" w:hAnsi="Times New Roman" w:cs="Times New Roman"/>
          <w:sz w:val="24"/>
          <w:szCs w:val="24"/>
        </w:rPr>
        <w:t>78,3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>%</w:t>
      </w:r>
      <w:r w:rsidR="00734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FE7" w:rsidRDefault="00734186" w:rsidP="005C6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плановый период 202</w:t>
      </w:r>
      <w:r w:rsidR="005C6FE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5C6FE7">
        <w:rPr>
          <w:rFonts w:ascii="Times New Roman" w:eastAsia="Times New Roman" w:hAnsi="Times New Roman" w:cs="Times New Roman"/>
          <w:sz w:val="24"/>
          <w:szCs w:val="24"/>
        </w:rPr>
        <w:t xml:space="preserve">наблюдается </w:t>
      </w:r>
      <w:r>
        <w:rPr>
          <w:rFonts w:ascii="Times New Roman" w:eastAsia="Times New Roman" w:hAnsi="Times New Roman" w:cs="Times New Roman"/>
          <w:sz w:val="24"/>
          <w:szCs w:val="24"/>
        </w:rPr>
        <w:t>сни</w:t>
      </w:r>
      <w:r w:rsidR="005C6FE7">
        <w:rPr>
          <w:rFonts w:ascii="Times New Roman" w:eastAsia="Times New Roman" w:hAnsi="Times New Roman" w:cs="Times New Roman"/>
          <w:sz w:val="24"/>
          <w:szCs w:val="24"/>
        </w:rPr>
        <w:t xml:space="preserve">жение неналоговых доходов на 29,2% и безвозмездных поступлений на 85,3%, а вот налоговые доходы запланированы с увеличением к предыдущему году на </w:t>
      </w:r>
      <w:r w:rsidR="00CB7BB6">
        <w:rPr>
          <w:rFonts w:ascii="Times New Roman" w:eastAsia="Times New Roman" w:hAnsi="Times New Roman" w:cs="Times New Roman"/>
          <w:sz w:val="24"/>
          <w:szCs w:val="24"/>
        </w:rPr>
        <w:t>3,9</w:t>
      </w:r>
      <w:r w:rsidR="005C6FE7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FE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C6FE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5C6FE7">
        <w:rPr>
          <w:rFonts w:ascii="Times New Roman" w:eastAsia="Times New Roman" w:hAnsi="Times New Roman" w:cs="Times New Roman"/>
          <w:sz w:val="24"/>
          <w:szCs w:val="24"/>
        </w:rPr>
        <w:t xml:space="preserve">планируется </w:t>
      </w:r>
      <w:r>
        <w:rPr>
          <w:rFonts w:ascii="Times New Roman" w:eastAsia="Times New Roman" w:hAnsi="Times New Roman" w:cs="Times New Roman"/>
          <w:sz w:val="24"/>
          <w:szCs w:val="24"/>
        </w:rPr>
        <w:t>увелич</w:t>
      </w:r>
      <w:r w:rsidR="005C6FE7">
        <w:rPr>
          <w:rFonts w:ascii="Times New Roman" w:eastAsia="Times New Roman" w:hAnsi="Times New Roman" w:cs="Times New Roman"/>
          <w:sz w:val="24"/>
          <w:szCs w:val="24"/>
        </w:rPr>
        <w:t xml:space="preserve">ение налоговых доходов на </w:t>
      </w:r>
      <w:r w:rsidR="000D1E70">
        <w:rPr>
          <w:rFonts w:ascii="Times New Roman" w:eastAsia="Times New Roman" w:hAnsi="Times New Roman" w:cs="Times New Roman"/>
          <w:sz w:val="24"/>
          <w:szCs w:val="24"/>
        </w:rPr>
        <w:t>3,0</w:t>
      </w:r>
      <w:r w:rsidR="005C6FE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в сравнении с предыдущим периодом</w:t>
      </w:r>
      <w:r w:rsidR="005C6FE7">
        <w:rPr>
          <w:rFonts w:ascii="Times New Roman" w:eastAsia="Times New Roman" w:hAnsi="Times New Roman" w:cs="Times New Roman"/>
          <w:sz w:val="24"/>
          <w:szCs w:val="24"/>
        </w:rPr>
        <w:t>, а неналоговые доходы и безвозмездные поступления соответствуют объемам предыдущего года.</w:t>
      </w:r>
      <w:proofErr w:type="gramEnd"/>
    </w:p>
    <w:p w:rsidR="00EC5966" w:rsidRPr="00C116DA" w:rsidRDefault="005C6FE7" w:rsidP="005C6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EC5966"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бюджета</w:t>
      </w:r>
      <w:r w:rsidR="00A27B8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6D15" w:rsidRPr="009D642F" w:rsidRDefault="00346D15" w:rsidP="00346D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64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062AE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909"/>
        <w:gridCol w:w="767"/>
        <w:gridCol w:w="874"/>
        <w:gridCol w:w="767"/>
        <w:gridCol w:w="874"/>
        <w:gridCol w:w="767"/>
        <w:gridCol w:w="874"/>
        <w:gridCol w:w="637"/>
        <w:gridCol w:w="30"/>
      </w:tblGrid>
      <w:tr w:rsidR="00A27B84" w:rsidRPr="00C116DA" w:rsidTr="00A27B84">
        <w:trPr>
          <w:trHeight w:val="25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3326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32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3326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32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3326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32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3326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326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B84" w:rsidRPr="00C116DA" w:rsidRDefault="00A27B8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</w:t>
            </w:r>
            <w:proofErr w:type="spellEnd"/>
          </w:p>
          <w:p w:rsidR="00A27B84" w:rsidRPr="00C116DA" w:rsidRDefault="00A27B8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A27B84" w:rsidRPr="00C116DA" w:rsidRDefault="00A27B84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84" w:rsidRPr="00C116DA" w:rsidTr="00A27B84">
        <w:trPr>
          <w:trHeight w:val="25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27B84" w:rsidRPr="00C116DA" w:rsidRDefault="00A27B84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B84" w:rsidRPr="00C116DA" w:rsidTr="00A27B84">
        <w:trPr>
          <w:trHeight w:val="25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84" w:rsidRPr="00C116DA" w:rsidRDefault="00A27B84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A27B84" w:rsidRPr="00C116DA" w:rsidRDefault="00A27B84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E57" w:rsidRPr="00C116DA" w:rsidTr="00316757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57" w:rsidRPr="005D6732" w:rsidRDefault="00847E57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73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82745,6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E75E75" w:rsidP="00112F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64443,0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112FAC" w:rsidP="00E75E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</w:t>
            </w:r>
            <w:r w:rsidR="00E75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66954,0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68964,0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30" w:type="dxa"/>
            <w:vAlign w:val="center"/>
            <w:hideMark/>
          </w:tcPr>
          <w:p w:rsidR="00847E57" w:rsidRPr="00C116DA" w:rsidRDefault="00847E57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E57" w:rsidRPr="00C116DA" w:rsidTr="00316757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57" w:rsidRPr="005D6732" w:rsidRDefault="00847E57" w:rsidP="008C17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732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2149,0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0" w:type="dxa"/>
            <w:vAlign w:val="center"/>
            <w:hideMark/>
          </w:tcPr>
          <w:p w:rsidR="00847E57" w:rsidRPr="00C116DA" w:rsidRDefault="00847E57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E57" w:rsidRPr="00C116DA" w:rsidTr="00316757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57" w:rsidRPr="005D6732" w:rsidRDefault="00847E57" w:rsidP="008C17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732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381664,4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82756,6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12182,7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12182,7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30" w:type="dxa"/>
            <w:vAlign w:val="center"/>
            <w:hideMark/>
          </w:tcPr>
          <w:p w:rsidR="00847E57" w:rsidRPr="00C116DA" w:rsidRDefault="00847E57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E57" w:rsidRPr="00C116DA" w:rsidTr="00316757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E57" w:rsidRPr="005D6732" w:rsidRDefault="00847E57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7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466559,0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148094,6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79741,7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81751,7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E57" w:rsidRPr="00847E57" w:rsidRDefault="00847E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7E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847E57" w:rsidRPr="00C116DA" w:rsidRDefault="00847E57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5966" w:rsidRPr="00C116DA" w:rsidRDefault="008E5DE3" w:rsidP="00247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DE3">
        <w:rPr>
          <w:rFonts w:ascii="Times New Roman" w:eastAsia="Times New Roman" w:hAnsi="Times New Roman" w:cs="Times New Roman"/>
          <w:sz w:val="24"/>
          <w:szCs w:val="24"/>
        </w:rPr>
        <w:t xml:space="preserve"> Структура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Pr="008E5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5DE3">
        <w:rPr>
          <w:rFonts w:ascii="Times New Roman" w:eastAsia="Times New Roman" w:hAnsi="Times New Roman" w:cs="Times New Roman"/>
          <w:sz w:val="24"/>
          <w:szCs w:val="24"/>
        </w:rPr>
        <w:t xml:space="preserve"> года и планового периода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8E5DE3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8E5DE3">
        <w:rPr>
          <w:rFonts w:ascii="Times New Roman" w:eastAsia="Times New Roman" w:hAnsi="Times New Roman" w:cs="Times New Roman"/>
          <w:sz w:val="24"/>
          <w:szCs w:val="24"/>
        </w:rPr>
        <w:t xml:space="preserve"> годов существенно  </w:t>
      </w:r>
      <w:r w:rsidR="0024701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Pr="008E5DE3">
        <w:rPr>
          <w:rFonts w:ascii="Times New Roman" w:eastAsia="Times New Roman" w:hAnsi="Times New Roman" w:cs="Times New Roman"/>
          <w:sz w:val="24"/>
          <w:szCs w:val="24"/>
        </w:rPr>
        <w:t xml:space="preserve">отличается от структуры бюджета отчетного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70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E5D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7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7015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объем в структуре доходов занимают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47015">
        <w:rPr>
          <w:rFonts w:ascii="Times New Roman" w:eastAsia="Times New Roman" w:hAnsi="Times New Roman" w:cs="Times New Roman"/>
          <w:sz w:val="24"/>
          <w:szCs w:val="24"/>
        </w:rPr>
        <w:t>55,9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снизившись при этом 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к ожидаемому уровню </w:t>
      </w:r>
      <w:r w:rsidR="00612AA2"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938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70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247015">
        <w:rPr>
          <w:rFonts w:ascii="Times New Roman" w:eastAsia="Times New Roman" w:hAnsi="Times New Roman" w:cs="Times New Roman"/>
          <w:sz w:val="24"/>
          <w:szCs w:val="24"/>
        </w:rPr>
        <w:t>25,9</w:t>
      </w:r>
      <w:r w:rsidR="00901452" w:rsidRPr="00C116DA">
        <w:rPr>
          <w:rFonts w:ascii="Times New Roman" w:eastAsia="Times New Roman" w:hAnsi="Times New Roman" w:cs="Times New Roman"/>
          <w:sz w:val="24"/>
          <w:szCs w:val="24"/>
        </w:rPr>
        <w:t>%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247015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 году налоговые доходы увеличатся на </w:t>
      </w:r>
      <w:r w:rsidR="00023948">
        <w:rPr>
          <w:rFonts w:ascii="Times New Roman" w:eastAsia="Times New Roman" w:hAnsi="Times New Roman" w:cs="Times New Roman"/>
          <w:sz w:val="24"/>
          <w:szCs w:val="24"/>
        </w:rPr>
        <w:t>25,8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 и </w:t>
      </w:r>
      <w:r w:rsidR="00247015">
        <w:rPr>
          <w:rFonts w:ascii="Times New Roman" w:eastAsia="Times New Roman" w:hAnsi="Times New Roman" w:cs="Times New Roman"/>
          <w:sz w:val="24"/>
          <w:szCs w:val="24"/>
        </w:rPr>
        <w:t>их удельный вес составит 38,1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%.</w:t>
      </w:r>
      <w:r w:rsidR="00023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Доля неналоговых доходов бюджета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7015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составит 0,</w:t>
      </w:r>
      <w:r w:rsidR="002470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247015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увеличившись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 к ожидаемому уровню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7015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2470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12AA2">
        <w:rPr>
          <w:rFonts w:ascii="Times New Roman" w:eastAsia="Times New Roman" w:hAnsi="Times New Roman" w:cs="Times New Roman"/>
          <w:sz w:val="24"/>
          <w:szCs w:val="24"/>
        </w:rPr>
        <w:t>0,</w:t>
      </w:r>
      <w:r w:rsidR="002470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1452" w:rsidRPr="00C116DA">
        <w:rPr>
          <w:rFonts w:ascii="Times New Roman" w:eastAsia="Times New Roman" w:hAnsi="Times New Roman" w:cs="Times New Roman"/>
          <w:sz w:val="24"/>
          <w:szCs w:val="24"/>
        </w:rPr>
        <w:t>%.</w:t>
      </w:r>
      <w:r w:rsidR="00EC5966" w:rsidRPr="00C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12AA2" w:rsidRDefault="00EC5966" w:rsidP="00612A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77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5778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объем в структуре доходов 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занимат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налоговые доходы – </w:t>
      </w:r>
      <w:r w:rsidR="00157780">
        <w:rPr>
          <w:rFonts w:ascii="Times New Roman" w:eastAsia="Times New Roman" w:hAnsi="Times New Roman" w:cs="Times New Roman"/>
          <w:sz w:val="24"/>
          <w:szCs w:val="24"/>
        </w:rPr>
        <w:t>84,0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157780">
        <w:rPr>
          <w:rFonts w:ascii="Times New Roman" w:eastAsia="Times New Roman" w:hAnsi="Times New Roman" w:cs="Times New Roman"/>
          <w:sz w:val="24"/>
          <w:szCs w:val="24"/>
        </w:rPr>
        <w:t>84,4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>еналоговы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доход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составят </w:t>
      </w:r>
      <w:r w:rsidR="00157780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CE00C3">
        <w:rPr>
          <w:rFonts w:ascii="Times New Roman" w:eastAsia="Times New Roman" w:hAnsi="Times New Roman" w:cs="Times New Roman"/>
          <w:sz w:val="24"/>
          <w:szCs w:val="24"/>
        </w:rPr>
        <w:t>0,</w:t>
      </w:r>
      <w:r w:rsidR="0015778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Безвозмездные поступления </w:t>
      </w:r>
      <w:r w:rsidR="00157780">
        <w:rPr>
          <w:rFonts w:ascii="Times New Roman" w:eastAsia="Times New Roman" w:hAnsi="Times New Roman" w:cs="Times New Roman"/>
          <w:sz w:val="24"/>
          <w:szCs w:val="24"/>
        </w:rPr>
        <w:t>планируются с удельным весом 15,3</w:t>
      </w:r>
      <w:r w:rsidR="00612AA2" w:rsidRPr="00C116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57780">
        <w:rPr>
          <w:rFonts w:ascii="Times New Roman" w:eastAsia="Times New Roman" w:hAnsi="Times New Roman" w:cs="Times New Roman"/>
          <w:sz w:val="24"/>
          <w:szCs w:val="24"/>
        </w:rPr>
        <w:t>14,9%</w:t>
      </w:r>
      <w:r w:rsidR="00612AA2" w:rsidRPr="00C116D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4C7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AA2" w:rsidRPr="00C116DA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="00612A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5F2" w:rsidRPr="00FB2016" w:rsidRDefault="00A965F2" w:rsidP="00A9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0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Собственные доходы на </w:t>
      </w:r>
      <w:r w:rsidR="005003A4" w:rsidRPr="00FB201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E155A" w:rsidRPr="00FB201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B20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FB2016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сумме </w:t>
      </w:r>
      <w:r w:rsidR="00EE155A" w:rsidRPr="00FB2016">
        <w:rPr>
          <w:rFonts w:ascii="Times New Roman" w:eastAsia="Times New Roman" w:hAnsi="Times New Roman" w:cs="Times New Roman"/>
          <w:sz w:val="24"/>
          <w:szCs w:val="24"/>
        </w:rPr>
        <w:t>65338,0</w:t>
      </w:r>
      <w:r w:rsidRPr="00FB201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FB2016">
        <w:rPr>
          <w:rFonts w:ascii="Times New Roman" w:eastAsia="Times New Roman" w:hAnsi="Times New Roman" w:cs="Times New Roman"/>
          <w:sz w:val="24"/>
          <w:szCs w:val="24"/>
        </w:rPr>
        <w:t>19556,6</w:t>
      </w:r>
      <w:r w:rsidRPr="00FB201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FB2016">
        <w:rPr>
          <w:rFonts w:ascii="Times New Roman" w:eastAsia="Times New Roman" w:hAnsi="Times New Roman" w:cs="Times New Roman"/>
          <w:sz w:val="24"/>
          <w:szCs w:val="24"/>
        </w:rPr>
        <w:t>23,0</w:t>
      </w:r>
      <w:r w:rsidRPr="00FB201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51084" w:rsidRPr="00FB2016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FB2016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5003A4" w:rsidRPr="00FB201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422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201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9E79C8" w:rsidRPr="00FB2016">
        <w:rPr>
          <w:rFonts w:ascii="Times New Roman" w:eastAsia="Times New Roman" w:hAnsi="Times New Roman" w:cs="Times New Roman"/>
          <w:sz w:val="24"/>
          <w:szCs w:val="24"/>
        </w:rPr>
        <w:t xml:space="preserve"> В структуре доходов бюджета на </w:t>
      </w:r>
      <w:r w:rsidR="005003A4" w:rsidRPr="00FB201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E155A" w:rsidRPr="00FB20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79C8" w:rsidRPr="00FB2016">
        <w:rPr>
          <w:rFonts w:ascii="Times New Roman" w:eastAsia="Times New Roman" w:hAnsi="Times New Roman" w:cs="Times New Roman"/>
          <w:sz w:val="24"/>
          <w:szCs w:val="24"/>
        </w:rPr>
        <w:t xml:space="preserve"> год собственные доходы занимают </w:t>
      </w:r>
      <w:r w:rsidR="00EE155A" w:rsidRPr="00FB2016">
        <w:rPr>
          <w:rFonts w:ascii="Times New Roman" w:eastAsia="Times New Roman" w:hAnsi="Times New Roman" w:cs="Times New Roman"/>
          <w:sz w:val="24"/>
          <w:szCs w:val="24"/>
        </w:rPr>
        <w:t>44,1</w:t>
      </w:r>
      <w:r w:rsidR="009E79C8" w:rsidRPr="00FB201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C5966" w:rsidRPr="00C116DA" w:rsidRDefault="00EC5966" w:rsidP="00EC5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201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Прогнозируемое поступление налоговых</w:t>
      </w: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1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неналоговых </w:t>
      </w: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 бюджета в </w:t>
      </w:r>
      <w:r w:rsidR="005003A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35E2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и плановом периоде </w:t>
      </w:r>
      <w:r w:rsidR="005003A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35E2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35E2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EC5966" w:rsidRPr="00C116DA" w:rsidRDefault="00EC5966" w:rsidP="00EC5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831E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56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817"/>
        <w:gridCol w:w="758"/>
        <w:gridCol w:w="758"/>
        <w:gridCol w:w="758"/>
        <w:gridCol w:w="758"/>
        <w:gridCol w:w="878"/>
        <w:gridCol w:w="850"/>
        <w:gridCol w:w="709"/>
        <w:gridCol w:w="724"/>
        <w:gridCol w:w="693"/>
        <w:gridCol w:w="709"/>
      </w:tblGrid>
      <w:tr w:rsidR="00A21DFA" w:rsidRPr="009D78E8" w:rsidTr="00A03AE2">
        <w:trPr>
          <w:trHeight w:val="58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2867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proofErr w:type="spellStart"/>
            <w:proofErr w:type="gramStart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бюд-жета</w:t>
            </w:r>
            <w:proofErr w:type="spellEnd"/>
            <w:proofErr w:type="gramEnd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8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A35E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3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Структура, %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3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A35E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35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2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21DFA" w:rsidRPr="009D78E8" w:rsidTr="00A03AE2">
        <w:trPr>
          <w:trHeight w:val="25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DFA" w:rsidRPr="009D78E8" w:rsidRDefault="00A21DFA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DFA" w:rsidRPr="009D78E8" w:rsidRDefault="00A21DFA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DFA" w:rsidRPr="009D78E8" w:rsidRDefault="00A21DFA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left w:val="nil"/>
              <w:right w:val="single" w:sz="4" w:space="0" w:color="auto"/>
            </w:tcBorders>
          </w:tcPr>
          <w:p w:rsidR="00A21DFA" w:rsidRPr="009D78E8" w:rsidRDefault="00A21DFA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DFA" w:rsidRPr="009D78E8" w:rsidRDefault="00A21DFA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DFA" w:rsidRPr="009D78E8" w:rsidRDefault="00A21DFA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DFA" w:rsidRPr="009D78E8" w:rsidRDefault="00A21DFA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AD61B5" w:rsidRPr="009D78E8" w:rsidTr="00A03AE2">
        <w:trPr>
          <w:trHeight w:val="102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1B5" w:rsidRPr="009D78E8" w:rsidRDefault="00AD61B5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1B5" w:rsidRPr="009D78E8" w:rsidRDefault="00AD61B5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1B5" w:rsidRPr="009D78E8" w:rsidRDefault="00AD61B5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61B5" w:rsidRPr="009D78E8" w:rsidRDefault="00AD61B5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1B5" w:rsidRPr="009D78E8" w:rsidRDefault="00AD61B5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61B5" w:rsidRPr="009D78E8" w:rsidRDefault="00AD61B5" w:rsidP="00EC5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1B5" w:rsidRPr="009D78E8" w:rsidRDefault="00AD61B5" w:rsidP="00C50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D61B5" w:rsidRPr="009D78E8" w:rsidRDefault="00AD61B5" w:rsidP="002867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1B5" w:rsidRPr="009D78E8" w:rsidRDefault="00AD61B5" w:rsidP="002867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к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1B5" w:rsidRDefault="00AD61B5" w:rsidP="00C50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AD61B5" w:rsidRPr="009D78E8" w:rsidRDefault="00AD61B5" w:rsidP="002867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1B5" w:rsidRPr="009D78E8" w:rsidRDefault="00AD61B5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D61B5" w:rsidRPr="009D78E8" w:rsidRDefault="00AD61B5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1B5" w:rsidRPr="009D78E8" w:rsidRDefault="00AD61B5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к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1B5" w:rsidRDefault="00AD61B5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  <w:r w:rsidRPr="009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</w:p>
          <w:p w:rsidR="00AD61B5" w:rsidRPr="009D78E8" w:rsidRDefault="00AD61B5" w:rsidP="002B20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9933E4" w:rsidRPr="009D78E8" w:rsidTr="00C501B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E4" w:rsidRPr="00A21DFA" w:rsidRDefault="009933E4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</w:t>
            </w:r>
            <w:r w:rsidRPr="00A21D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неналоговые</w:t>
            </w:r>
          </w:p>
          <w:p w:rsidR="009933E4" w:rsidRPr="00A21DFA" w:rsidRDefault="009933E4" w:rsidP="001725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84894,6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65338,0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67559,0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69569,0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-19556,6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103,0</w:t>
            </w:r>
          </w:p>
        </w:tc>
      </w:tr>
      <w:tr w:rsidR="009933E4" w:rsidRPr="009D78E8" w:rsidTr="00C501BF">
        <w:trPr>
          <w:trHeight w:val="2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E4" w:rsidRPr="00A21DFA" w:rsidRDefault="009933E4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82745,6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80D1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64443,0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933E4" w:rsidRPr="009933E4" w:rsidRDefault="00980D12" w:rsidP="00980D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66954,0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68964,0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80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-18302,6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80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2511,0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2010,0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80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77,9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80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103,0</w:t>
            </w:r>
          </w:p>
        </w:tc>
      </w:tr>
      <w:tr w:rsidR="009933E4" w:rsidRPr="009D78E8" w:rsidTr="00C501BF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E4" w:rsidRPr="00A21DFA" w:rsidRDefault="009933E4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67237,0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48231,0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3E4" w:rsidRPr="009933E4" w:rsidRDefault="00B37BCD" w:rsidP="00B37B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50288,0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52508,0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-19006,0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104,4</w:t>
            </w:r>
          </w:p>
        </w:tc>
      </w:tr>
      <w:tr w:rsidR="009933E4" w:rsidRPr="009D78E8" w:rsidTr="00C501BF">
        <w:trPr>
          <w:trHeight w:val="7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E4" w:rsidRPr="00A21DFA" w:rsidRDefault="009933E4" w:rsidP="003F25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2612,6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3153,0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3E4" w:rsidRPr="009933E4" w:rsidRDefault="00B37BCD" w:rsidP="00B37B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3218,0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3237,0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100,6</w:t>
            </w:r>
          </w:p>
        </w:tc>
      </w:tr>
      <w:tr w:rsidR="009933E4" w:rsidRPr="009D78E8" w:rsidTr="00C501BF">
        <w:trPr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E4" w:rsidRPr="00A21DFA" w:rsidRDefault="009933E4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84587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108,3</w:t>
            </w:r>
          </w:p>
        </w:tc>
      </w:tr>
      <w:tr w:rsidR="009933E4" w:rsidRPr="009D78E8" w:rsidTr="00C501BF">
        <w:trPr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E4" w:rsidRPr="00A21DFA" w:rsidRDefault="009933E4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3E4" w:rsidRPr="009933E4" w:rsidRDefault="00B37BCD" w:rsidP="00B37B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-166,0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</w:tr>
      <w:tr w:rsidR="009933E4" w:rsidRPr="009D78E8" w:rsidTr="00C501BF">
        <w:trPr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E4" w:rsidRPr="00A21DFA" w:rsidRDefault="009933E4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6432,0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33E4" w:rsidRPr="009933E4" w:rsidRDefault="00B37BCD" w:rsidP="00B37B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6370,0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6306,0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</w:tr>
      <w:tr w:rsidR="0084587D" w:rsidRPr="009D78E8" w:rsidTr="00C501BF">
        <w:trPr>
          <w:trHeight w:val="76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87D" w:rsidRPr="00A21DFA" w:rsidRDefault="0084587D" w:rsidP="00E64C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87D" w:rsidRPr="009933E4" w:rsidRDefault="0084587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87D" w:rsidRPr="009933E4" w:rsidRDefault="0084587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D" w:rsidRPr="009933E4" w:rsidRDefault="008458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87D" w:rsidRPr="009933E4" w:rsidRDefault="0084587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87D" w:rsidRPr="009933E4" w:rsidRDefault="0084587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87D" w:rsidRPr="009933E4" w:rsidRDefault="008458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87D" w:rsidRPr="009933E4" w:rsidRDefault="008458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87D" w:rsidRPr="009933E4" w:rsidRDefault="008458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87D" w:rsidRPr="009933E4" w:rsidRDefault="0084587D" w:rsidP="002B20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87D" w:rsidRPr="009933E4" w:rsidRDefault="0084587D" w:rsidP="002B2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87D" w:rsidRPr="009933E4" w:rsidRDefault="0084587D" w:rsidP="002B2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3E4" w:rsidRPr="009D78E8" w:rsidTr="00C501BF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E4" w:rsidRPr="00A21DFA" w:rsidRDefault="009933E4" w:rsidP="004824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2149,0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855,0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605,0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605,0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-1294,0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9933E4" w:rsidRPr="009D78E8" w:rsidTr="00C501BF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E4" w:rsidRPr="00A21DFA" w:rsidRDefault="009933E4" w:rsidP="004164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4587D" w:rsidRPr="009D78E8" w:rsidTr="00C501BF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7D" w:rsidRPr="00A21DFA" w:rsidRDefault="0084587D" w:rsidP="00A06A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D" w:rsidRPr="009933E4" w:rsidRDefault="008458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 w:rsidP="002B20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 w:rsidP="002B2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 w:rsidP="002B2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3E4" w:rsidRPr="009D78E8" w:rsidTr="00C501BF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E4" w:rsidRPr="00A21DFA" w:rsidRDefault="009933E4" w:rsidP="004824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933E4" w:rsidRPr="009D78E8" w:rsidTr="00C501BF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E4" w:rsidRPr="00A21DFA" w:rsidRDefault="009933E4" w:rsidP="004824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1DFA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3E4" w:rsidRPr="009933E4" w:rsidRDefault="009933E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84587D" w:rsidRPr="009D78E8" w:rsidTr="00C501BF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7D" w:rsidRPr="00A21DFA" w:rsidRDefault="0084587D" w:rsidP="006D02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7D" w:rsidRPr="009933E4" w:rsidRDefault="008458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 w:rsidP="002B20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 w:rsidP="002B2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87D" w:rsidRPr="009933E4" w:rsidRDefault="0084587D" w:rsidP="002B200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33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A965F2" w:rsidRDefault="00A965F2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F2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218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тся в сумме </w:t>
      </w:r>
      <w:r w:rsidR="002F23DA">
        <w:rPr>
          <w:rFonts w:ascii="Times New Roman" w:eastAsia="Times New Roman" w:hAnsi="Times New Roman" w:cs="Times New Roman"/>
          <w:sz w:val="24"/>
          <w:szCs w:val="24"/>
        </w:rPr>
        <w:t>64443,0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2F23DA">
        <w:rPr>
          <w:rFonts w:ascii="Times New Roman" w:eastAsia="Times New Roman" w:hAnsi="Times New Roman" w:cs="Times New Roman"/>
          <w:sz w:val="24"/>
          <w:szCs w:val="24"/>
        </w:rPr>
        <w:t>18302,6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F23DA">
        <w:rPr>
          <w:rFonts w:ascii="Times New Roman" w:eastAsia="Times New Roman" w:hAnsi="Times New Roman" w:cs="Times New Roman"/>
          <w:sz w:val="24"/>
          <w:szCs w:val="24"/>
        </w:rPr>
        <w:t>22,1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A4A0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218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F15E16">
        <w:rPr>
          <w:rFonts w:ascii="Times New Roman" w:eastAsia="Times New Roman" w:hAnsi="Times New Roman" w:cs="Times New Roman"/>
          <w:sz w:val="24"/>
          <w:szCs w:val="24"/>
        </w:rPr>
        <w:t xml:space="preserve"> В структуре </w:t>
      </w:r>
      <w:r w:rsidR="00F15E16" w:rsidRPr="00C116DA">
        <w:rPr>
          <w:rFonts w:ascii="Times New Roman" w:eastAsia="Times New Roman" w:hAnsi="Times New Roman" w:cs="Times New Roman"/>
          <w:sz w:val="24"/>
          <w:szCs w:val="24"/>
        </w:rPr>
        <w:t xml:space="preserve">собственных доходов бюджета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F23DA">
        <w:rPr>
          <w:rFonts w:ascii="Times New Roman" w:eastAsia="Times New Roman" w:hAnsi="Times New Roman" w:cs="Times New Roman"/>
          <w:sz w:val="24"/>
          <w:szCs w:val="24"/>
        </w:rPr>
        <w:t>4</w:t>
      </w:r>
      <w:r w:rsidR="00F15E16"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F15E16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2F23DA">
        <w:rPr>
          <w:rFonts w:ascii="Times New Roman" w:eastAsia="Times New Roman" w:hAnsi="Times New Roman" w:cs="Times New Roman"/>
          <w:sz w:val="24"/>
          <w:szCs w:val="24"/>
        </w:rPr>
        <w:t>ймут</w:t>
      </w:r>
      <w:r w:rsidR="00F15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A01">
        <w:rPr>
          <w:rFonts w:ascii="Times New Roman" w:eastAsia="Times New Roman" w:hAnsi="Times New Roman" w:cs="Times New Roman"/>
          <w:sz w:val="24"/>
          <w:szCs w:val="24"/>
        </w:rPr>
        <w:t>98,</w:t>
      </w:r>
      <w:r w:rsidR="002F23D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15E1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41E89" w:rsidRPr="00C41E89" w:rsidRDefault="00EC5966" w:rsidP="00261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Основную долю </w:t>
      </w:r>
      <w:r w:rsidR="00F15E16">
        <w:rPr>
          <w:rFonts w:ascii="Times New Roman" w:eastAsia="Times New Roman" w:hAnsi="Times New Roman" w:cs="Times New Roman"/>
          <w:sz w:val="24"/>
          <w:szCs w:val="24"/>
        </w:rPr>
        <w:t>налоговых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218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году по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прежнему будет составлять налог </w:t>
      </w:r>
      <w:r w:rsidRPr="00261B40">
        <w:rPr>
          <w:rFonts w:ascii="Times New Roman" w:eastAsia="Times New Roman" w:hAnsi="Times New Roman" w:cs="Times New Roman"/>
          <w:b/>
          <w:sz w:val="24"/>
          <w:szCs w:val="24"/>
        </w:rPr>
        <w:t>на доходы физических лиц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B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18F2">
        <w:rPr>
          <w:rFonts w:ascii="Times New Roman" w:eastAsia="Times New Roman" w:hAnsi="Times New Roman" w:cs="Times New Roman"/>
          <w:sz w:val="24"/>
          <w:szCs w:val="24"/>
        </w:rPr>
        <w:t>48231,0</w:t>
      </w:r>
      <w:r w:rsidR="007B5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>тыс. рублей,</w:t>
      </w:r>
      <w:r w:rsidR="007B5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900D1F">
        <w:rPr>
          <w:rFonts w:ascii="Times New Roman" w:eastAsia="Times New Roman" w:hAnsi="Times New Roman" w:cs="Times New Roman"/>
          <w:sz w:val="24"/>
          <w:szCs w:val="24"/>
        </w:rPr>
        <w:t>74,8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>%.</w:t>
      </w:r>
      <w:r w:rsidR="00261B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261B40">
        <w:rPr>
          <w:rFonts w:ascii="Times New Roman" w:eastAsia="Times New Roman" w:hAnsi="Times New Roman" w:cs="Times New Roman"/>
          <w:bCs/>
          <w:sz w:val="24"/>
          <w:szCs w:val="24"/>
        </w:rPr>
        <w:t>налога на доходы физических лиц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1B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61B4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на </w:t>
      </w:r>
      <w:r w:rsidR="00261B40">
        <w:rPr>
          <w:rFonts w:ascii="Times New Roman" w:eastAsia="Times New Roman" w:hAnsi="Times New Roman" w:cs="Times New Roman"/>
          <w:sz w:val="24"/>
          <w:szCs w:val="24"/>
        </w:rPr>
        <w:t>19006,0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61B40">
        <w:rPr>
          <w:rFonts w:ascii="Times New Roman" w:eastAsia="Times New Roman" w:hAnsi="Times New Roman" w:cs="Times New Roman"/>
          <w:sz w:val="24"/>
          <w:szCs w:val="24"/>
        </w:rPr>
        <w:t>28,3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261B4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1B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года. Расчет доходов бюджета по налогу на доходы физических лиц произведен исходя из ожидаемой оценки поступления налога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1B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году, скорректированных на темпы роста фонда оплаты труда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1B4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год, а так же норматива </w:t>
      </w:r>
      <w:r w:rsidRPr="00C41E89">
        <w:rPr>
          <w:rFonts w:ascii="Times New Roman" w:eastAsia="Times New Roman" w:hAnsi="Times New Roman" w:cs="Times New Roman"/>
          <w:sz w:val="24"/>
          <w:szCs w:val="24"/>
        </w:rPr>
        <w:t>отчислений налога в бюджет</w:t>
      </w:r>
      <w:r w:rsidR="00C41E89" w:rsidRPr="00C41E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Pr="00C116DA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E89">
        <w:rPr>
          <w:rFonts w:ascii="Times New Roman" w:eastAsia="Times New Roman" w:hAnsi="Times New Roman" w:cs="Times New Roman"/>
          <w:sz w:val="24"/>
          <w:szCs w:val="24"/>
        </w:rPr>
        <w:t xml:space="preserve">Темп роста налога на доходы физических лиц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1B4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D0F" w:rsidRPr="00C41E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1B40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2D0F" w:rsidRPr="00C41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E89">
        <w:rPr>
          <w:rFonts w:ascii="Times New Roman" w:eastAsia="Times New Roman" w:hAnsi="Times New Roman" w:cs="Times New Roman"/>
          <w:sz w:val="24"/>
          <w:szCs w:val="24"/>
        </w:rPr>
        <w:t>годах к предыдущему году составляет</w:t>
      </w:r>
      <w:r w:rsidR="00415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B40">
        <w:rPr>
          <w:rFonts w:ascii="Times New Roman" w:eastAsia="Times New Roman" w:hAnsi="Times New Roman" w:cs="Times New Roman"/>
          <w:sz w:val="24"/>
          <w:szCs w:val="24"/>
        </w:rPr>
        <w:t>4,3</w:t>
      </w:r>
      <w:r w:rsidR="004158C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61B40">
        <w:rPr>
          <w:rFonts w:ascii="Times New Roman" w:eastAsia="Times New Roman" w:hAnsi="Times New Roman" w:cs="Times New Roman"/>
          <w:sz w:val="24"/>
          <w:szCs w:val="24"/>
        </w:rPr>
        <w:t>4,4</w:t>
      </w:r>
      <w:r w:rsidRPr="00C41E89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C5966" w:rsidRDefault="00EC5966" w:rsidP="00B67877">
      <w:pPr>
        <w:pStyle w:val="23"/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6DA">
        <w:rPr>
          <w:rFonts w:ascii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C116DA">
        <w:rPr>
          <w:rFonts w:ascii="Times New Roman" w:hAnsi="Times New Roman" w:cs="Times New Roman"/>
          <w:b/>
          <w:bCs/>
          <w:sz w:val="24"/>
          <w:szCs w:val="24"/>
        </w:rPr>
        <w:t>акцизов по подакцизным товарам (продукции), производимых на территории РФ</w:t>
      </w:r>
      <w:r w:rsidRPr="00C116DA">
        <w:rPr>
          <w:rFonts w:ascii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hAnsi="Times New Roman" w:cs="Times New Roman"/>
          <w:sz w:val="24"/>
          <w:szCs w:val="24"/>
        </w:rPr>
        <w:t>202</w:t>
      </w:r>
      <w:r w:rsidR="00E72C15">
        <w:rPr>
          <w:rFonts w:ascii="Times New Roman" w:hAnsi="Times New Roman" w:cs="Times New Roman"/>
          <w:sz w:val="24"/>
          <w:szCs w:val="24"/>
        </w:rPr>
        <w:t>4</w:t>
      </w:r>
      <w:r w:rsidRPr="00B67877">
        <w:rPr>
          <w:rFonts w:ascii="Times New Roman" w:hAnsi="Times New Roman" w:cs="Times New Roman"/>
          <w:sz w:val="24"/>
          <w:szCs w:val="24"/>
        </w:rPr>
        <w:t xml:space="preserve"> год рассчитан исходя из </w:t>
      </w:r>
      <w:r w:rsidR="00B67877" w:rsidRPr="00B67877">
        <w:rPr>
          <w:rFonts w:ascii="Times New Roman" w:hAnsi="Times New Roman" w:cs="Times New Roman"/>
          <w:sz w:val="24"/>
          <w:szCs w:val="24"/>
        </w:rPr>
        <w:t>прогнозируемого объема акцизов, подлежащих распределению между муниципальными образованиями Брянской области</w:t>
      </w:r>
      <w:r w:rsidR="000C781C">
        <w:rPr>
          <w:rFonts w:ascii="Times New Roman" w:hAnsi="Times New Roman" w:cs="Times New Roman"/>
          <w:sz w:val="24"/>
          <w:szCs w:val="24"/>
        </w:rPr>
        <w:t xml:space="preserve">. </w:t>
      </w:r>
      <w:r w:rsidR="00B67877" w:rsidRPr="00B67877">
        <w:rPr>
          <w:rFonts w:ascii="Times New Roman" w:hAnsi="Times New Roman" w:cs="Times New Roman"/>
          <w:sz w:val="24"/>
          <w:szCs w:val="24"/>
        </w:rPr>
        <w:t xml:space="preserve"> </w:t>
      </w:r>
      <w:r w:rsidR="000C781C" w:rsidRPr="000C781C">
        <w:rPr>
          <w:rFonts w:ascii="Times New Roman" w:eastAsia="Times New Roman" w:hAnsi="Times New Roman" w:cs="Times New Roman"/>
          <w:sz w:val="24"/>
          <w:szCs w:val="28"/>
        </w:rPr>
        <w:t>С учетом факторов изменения законодательства и норматива отчислений (0,06</w:t>
      </w:r>
      <w:r w:rsidR="00E72C15">
        <w:rPr>
          <w:rFonts w:ascii="Times New Roman" w:eastAsia="Times New Roman" w:hAnsi="Times New Roman" w:cs="Times New Roman"/>
          <w:sz w:val="24"/>
          <w:szCs w:val="28"/>
        </w:rPr>
        <w:t>51</w:t>
      </w:r>
      <w:r w:rsidR="000C781C" w:rsidRPr="000C781C">
        <w:rPr>
          <w:rFonts w:ascii="Times New Roman" w:eastAsia="Times New Roman" w:hAnsi="Times New Roman" w:cs="Times New Roman"/>
          <w:sz w:val="24"/>
          <w:szCs w:val="28"/>
        </w:rPr>
        <w:t xml:space="preserve"> %) поступления доходов от уплаты акцизов  на нефтепродукты в </w:t>
      </w:r>
      <w:r w:rsidR="005003A4">
        <w:rPr>
          <w:rFonts w:ascii="Times New Roman" w:eastAsia="Times New Roman" w:hAnsi="Times New Roman" w:cs="Times New Roman"/>
          <w:sz w:val="24"/>
          <w:szCs w:val="28"/>
        </w:rPr>
        <w:t>202</w:t>
      </w:r>
      <w:r w:rsidR="00E72C15">
        <w:rPr>
          <w:rFonts w:ascii="Times New Roman" w:eastAsia="Times New Roman" w:hAnsi="Times New Roman" w:cs="Times New Roman"/>
          <w:sz w:val="24"/>
          <w:szCs w:val="28"/>
        </w:rPr>
        <w:t>4</w:t>
      </w:r>
      <w:r w:rsidR="000C781C" w:rsidRPr="000C781C">
        <w:rPr>
          <w:rFonts w:ascii="Times New Roman" w:eastAsia="Times New Roman" w:hAnsi="Times New Roman" w:cs="Times New Roman"/>
          <w:sz w:val="24"/>
          <w:szCs w:val="28"/>
        </w:rPr>
        <w:t xml:space="preserve"> году в целом </w:t>
      </w:r>
      <w:r w:rsidR="000C781C" w:rsidRPr="00CD40A1">
        <w:rPr>
          <w:rFonts w:ascii="Times New Roman" w:eastAsia="Times New Roman" w:hAnsi="Times New Roman" w:cs="Times New Roman"/>
          <w:sz w:val="24"/>
          <w:szCs w:val="28"/>
        </w:rPr>
        <w:t xml:space="preserve">планируются в сумме </w:t>
      </w:r>
      <w:r w:rsidR="00E72C15">
        <w:rPr>
          <w:rFonts w:ascii="Times New Roman" w:eastAsia="Times New Roman" w:hAnsi="Times New Roman" w:cs="Times New Roman"/>
          <w:sz w:val="24"/>
          <w:szCs w:val="28"/>
        </w:rPr>
        <w:t>3153,0</w:t>
      </w:r>
      <w:r w:rsidRPr="00CD40A1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E72C15">
        <w:rPr>
          <w:rFonts w:ascii="Times New Roman" w:hAnsi="Times New Roman" w:cs="Times New Roman"/>
          <w:sz w:val="24"/>
          <w:szCs w:val="24"/>
        </w:rPr>
        <w:t>540,4</w:t>
      </w:r>
      <w:r w:rsidRPr="00CD40A1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E72C15">
        <w:rPr>
          <w:rFonts w:ascii="Times New Roman" w:hAnsi="Times New Roman" w:cs="Times New Roman"/>
          <w:sz w:val="24"/>
          <w:szCs w:val="24"/>
        </w:rPr>
        <w:t>20,7</w:t>
      </w:r>
      <w:r w:rsidRPr="00CD40A1">
        <w:rPr>
          <w:rFonts w:ascii="Times New Roman" w:hAnsi="Times New Roman" w:cs="Times New Roman"/>
          <w:sz w:val="24"/>
          <w:szCs w:val="24"/>
        </w:rPr>
        <w:t xml:space="preserve">% </w:t>
      </w:r>
      <w:r w:rsidR="00E72C15">
        <w:rPr>
          <w:rFonts w:ascii="Times New Roman" w:hAnsi="Times New Roman" w:cs="Times New Roman"/>
          <w:sz w:val="24"/>
          <w:szCs w:val="24"/>
        </w:rPr>
        <w:t>выше</w:t>
      </w:r>
      <w:r w:rsidRPr="00CD40A1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E72C15">
        <w:rPr>
          <w:rFonts w:ascii="Times New Roman" w:hAnsi="Times New Roman" w:cs="Times New Roman"/>
          <w:sz w:val="24"/>
          <w:szCs w:val="24"/>
        </w:rPr>
        <w:t xml:space="preserve">й оценки </w:t>
      </w:r>
      <w:r w:rsidRPr="00CD40A1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5003A4">
        <w:rPr>
          <w:rFonts w:ascii="Times New Roman" w:hAnsi="Times New Roman" w:cs="Times New Roman"/>
          <w:sz w:val="24"/>
          <w:szCs w:val="24"/>
        </w:rPr>
        <w:t>202</w:t>
      </w:r>
      <w:r w:rsidR="00E72C15">
        <w:rPr>
          <w:rFonts w:ascii="Times New Roman" w:hAnsi="Times New Roman" w:cs="Times New Roman"/>
          <w:sz w:val="24"/>
          <w:szCs w:val="24"/>
        </w:rPr>
        <w:t>3</w:t>
      </w:r>
      <w:r w:rsidR="00CA736E" w:rsidRPr="00CD40A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D40A1">
        <w:rPr>
          <w:rFonts w:ascii="Times New Roman" w:hAnsi="Times New Roman" w:cs="Times New Roman"/>
          <w:sz w:val="24"/>
          <w:szCs w:val="24"/>
        </w:rPr>
        <w:t>. В</w:t>
      </w:r>
      <w:r w:rsidRPr="00B67877">
        <w:rPr>
          <w:rFonts w:ascii="Times New Roman" w:hAnsi="Times New Roman" w:cs="Times New Roman"/>
          <w:sz w:val="24"/>
          <w:szCs w:val="24"/>
        </w:rPr>
        <w:t xml:space="preserve"> структуре </w:t>
      </w:r>
      <w:r w:rsidR="00F15E16">
        <w:rPr>
          <w:rFonts w:ascii="Times New Roman" w:hAnsi="Times New Roman" w:cs="Times New Roman"/>
          <w:sz w:val="24"/>
          <w:szCs w:val="24"/>
        </w:rPr>
        <w:t>налоговых</w:t>
      </w:r>
      <w:r w:rsidRPr="00B67877">
        <w:rPr>
          <w:rFonts w:ascii="Times New Roman" w:hAnsi="Times New Roman" w:cs="Times New Roman"/>
          <w:sz w:val="24"/>
          <w:szCs w:val="24"/>
        </w:rPr>
        <w:t xml:space="preserve"> доходов бюджета на долю акцизов</w:t>
      </w:r>
      <w:r w:rsidRPr="00C116DA">
        <w:rPr>
          <w:rFonts w:ascii="Times New Roman" w:hAnsi="Times New Roman" w:cs="Times New Roman"/>
          <w:sz w:val="24"/>
          <w:szCs w:val="24"/>
        </w:rPr>
        <w:t xml:space="preserve"> по подакцизным товарам (продукции), производимых на территории РФ в </w:t>
      </w:r>
      <w:r w:rsidR="005003A4">
        <w:rPr>
          <w:rFonts w:ascii="Times New Roman" w:hAnsi="Times New Roman" w:cs="Times New Roman"/>
          <w:sz w:val="24"/>
          <w:szCs w:val="24"/>
        </w:rPr>
        <w:t>202</w:t>
      </w:r>
      <w:r w:rsidR="00EF5D88">
        <w:rPr>
          <w:rFonts w:ascii="Times New Roman" w:hAnsi="Times New Roman" w:cs="Times New Roman"/>
          <w:sz w:val="24"/>
          <w:szCs w:val="24"/>
        </w:rPr>
        <w:t>4</w:t>
      </w:r>
      <w:r w:rsidRPr="00C116DA">
        <w:rPr>
          <w:rFonts w:ascii="Times New Roman" w:hAnsi="Times New Roman" w:cs="Times New Roman"/>
          <w:sz w:val="24"/>
          <w:szCs w:val="24"/>
        </w:rPr>
        <w:t xml:space="preserve">году приходится </w:t>
      </w:r>
      <w:r w:rsidR="00EF5D88">
        <w:rPr>
          <w:rFonts w:ascii="Times New Roman" w:hAnsi="Times New Roman" w:cs="Times New Roman"/>
          <w:sz w:val="24"/>
          <w:szCs w:val="24"/>
        </w:rPr>
        <w:t>4,9</w:t>
      </w:r>
      <w:r w:rsidRPr="00C116DA">
        <w:rPr>
          <w:rFonts w:ascii="Times New Roman" w:hAnsi="Times New Roman" w:cs="Times New Roman"/>
          <w:sz w:val="24"/>
          <w:szCs w:val="24"/>
        </w:rPr>
        <w:t>%.</w:t>
      </w:r>
    </w:p>
    <w:p w:rsidR="00EC5966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Темп </w:t>
      </w:r>
      <w:r w:rsidR="00C855CA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акцизов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F5D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F5D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EF5D88">
        <w:rPr>
          <w:rFonts w:ascii="Times New Roman" w:eastAsia="Times New Roman" w:hAnsi="Times New Roman" w:cs="Times New Roman"/>
          <w:sz w:val="24"/>
          <w:szCs w:val="24"/>
        </w:rPr>
        <w:t>2,1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F5D88">
        <w:rPr>
          <w:rFonts w:ascii="Times New Roman" w:eastAsia="Times New Roman" w:hAnsi="Times New Roman" w:cs="Times New Roman"/>
          <w:sz w:val="24"/>
          <w:szCs w:val="24"/>
        </w:rPr>
        <w:t>0</w:t>
      </w:r>
      <w:r w:rsidR="00B141EE">
        <w:rPr>
          <w:rFonts w:ascii="Times New Roman" w:eastAsia="Times New Roman" w:hAnsi="Times New Roman" w:cs="Times New Roman"/>
          <w:sz w:val="24"/>
          <w:szCs w:val="24"/>
        </w:rPr>
        <w:t>,6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8E65D8" w:rsidRPr="008E65D8" w:rsidRDefault="00CF1C16" w:rsidP="008E65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CF1C1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F1C16">
        <w:rPr>
          <w:rFonts w:ascii="Times New Roman" w:eastAsia="Times New Roman" w:hAnsi="Times New Roman" w:cs="Times New Roman"/>
          <w:b/>
          <w:bCs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CF1C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сельскохозяйственн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CF1C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налог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 рассчитан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11,0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 что выше ожидаемо</w:t>
      </w:r>
      <w:r>
        <w:rPr>
          <w:rFonts w:ascii="Times New Roman" w:eastAsia="Times New Roman" w:hAnsi="Times New Roman" w:cs="Times New Roman"/>
          <w:sz w:val="24"/>
          <w:szCs w:val="24"/>
        </w:rPr>
        <w:t>й оценки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2023 года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8E65D8" w:rsidRPr="008E65D8">
        <w:rPr>
          <w:rFonts w:ascii="Times New Roman" w:eastAsia="Times New Roman" w:hAnsi="Times New Roman" w:cs="Times New Roman"/>
          <w:sz w:val="24"/>
          <w:szCs w:val="24"/>
        </w:rPr>
        <w:t xml:space="preserve">В основу расчета прогноза единого сельскохозяйственного налога принята планируемая величина погашения задолженности по налогу (в том числе пени, денежные взыскании (штрафы). </w:t>
      </w:r>
      <w:proofErr w:type="gramEnd"/>
    </w:p>
    <w:p w:rsidR="00F15E16" w:rsidRPr="00C116DA" w:rsidRDefault="00EC5966" w:rsidP="00F15E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1564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 рассчитан в сумме </w:t>
      </w:r>
      <w:r w:rsidR="00315642">
        <w:rPr>
          <w:rFonts w:ascii="Times New Roman" w:eastAsia="Times New Roman" w:hAnsi="Times New Roman" w:cs="Times New Roman"/>
          <w:sz w:val="24"/>
          <w:szCs w:val="24"/>
        </w:rPr>
        <w:t>6656,0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 что выше ожидаемо</w:t>
      </w:r>
      <w:r w:rsidR="00315642">
        <w:rPr>
          <w:rFonts w:ascii="Times New Roman" w:eastAsia="Times New Roman" w:hAnsi="Times New Roman" w:cs="Times New Roman"/>
          <w:sz w:val="24"/>
          <w:szCs w:val="24"/>
        </w:rPr>
        <w:t>й оценки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156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315642">
        <w:rPr>
          <w:rFonts w:ascii="Times New Roman" w:eastAsia="Times New Roman" w:hAnsi="Times New Roman" w:cs="Times New Roman"/>
          <w:sz w:val="24"/>
          <w:szCs w:val="24"/>
        </w:rPr>
        <w:t xml:space="preserve"> 60,0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315642">
        <w:rPr>
          <w:rFonts w:ascii="Times New Roman" w:eastAsia="Times New Roman" w:hAnsi="Times New Roman" w:cs="Times New Roman"/>
          <w:sz w:val="24"/>
          <w:szCs w:val="24"/>
        </w:rPr>
        <w:t>0,9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D7503" w:rsidRPr="001D7503" w:rsidRDefault="001D7503" w:rsidP="001D7503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03">
        <w:rPr>
          <w:rFonts w:ascii="Times New Roman" w:eastAsia="Times New Roman" w:hAnsi="Times New Roman" w:cs="Times New Roman"/>
          <w:sz w:val="24"/>
          <w:szCs w:val="24"/>
        </w:rPr>
        <w:t xml:space="preserve">Прогноз налога на имущество физических лиц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1564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D7503">
        <w:rPr>
          <w:rFonts w:ascii="Times New Roman" w:eastAsia="Times New Roman" w:hAnsi="Times New Roman" w:cs="Times New Roman"/>
          <w:sz w:val="24"/>
          <w:szCs w:val="24"/>
        </w:rPr>
        <w:t xml:space="preserve"> год рассчитан </w:t>
      </w:r>
      <w:proofErr w:type="gramStart"/>
      <w:r w:rsidRPr="001D7503">
        <w:rPr>
          <w:rFonts w:ascii="Times New Roman" w:eastAsia="Times New Roman" w:hAnsi="Times New Roman" w:cs="Times New Roman"/>
          <w:sz w:val="24"/>
          <w:szCs w:val="24"/>
        </w:rPr>
        <w:t>исходя из показателей налоговой базы, определенных на основе положений Налогового кодекса Российской Федерации, Решений Совета народных депутатов города Суража, в соответствии с которыми налогообложение имущества физических лиц осуществляться</w:t>
      </w:r>
      <w:proofErr w:type="gramEnd"/>
      <w:r w:rsidRPr="001D7503">
        <w:rPr>
          <w:rFonts w:ascii="Times New Roman" w:eastAsia="Times New Roman" w:hAnsi="Times New Roman" w:cs="Times New Roman"/>
          <w:sz w:val="24"/>
          <w:szCs w:val="24"/>
        </w:rPr>
        <w:t xml:space="preserve"> исходя из кадастровой стоимости объектов недвижимости. </w:t>
      </w:r>
    </w:p>
    <w:p w:rsidR="001D7503" w:rsidRPr="001D7503" w:rsidRDefault="001D7503" w:rsidP="001D7503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03">
        <w:rPr>
          <w:rFonts w:ascii="Times New Roman" w:eastAsia="Times New Roman" w:hAnsi="Times New Roman" w:cs="Times New Roman"/>
          <w:sz w:val="24"/>
          <w:szCs w:val="24"/>
        </w:rPr>
        <w:t xml:space="preserve">В основу расчета прогноза налога на имущество физических лиц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1564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D7503">
        <w:rPr>
          <w:rFonts w:ascii="Times New Roman" w:eastAsia="Times New Roman" w:hAnsi="Times New Roman" w:cs="Times New Roman"/>
          <w:sz w:val="24"/>
          <w:szCs w:val="24"/>
        </w:rPr>
        <w:t xml:space="preserve"> год использованы сведения о начисленных налоговыми органами суммах налога на имущество физических лиц, представленные Управлением ФНС России по Брянской области, а также учитывались поступления от погашения части задолженности по налогу.</w:t>
      </w:r>
    </w:p>
    <w:p w:rsidR="001D7503" w:rsidRPr="001D7503" w:rsidRDefault="001D7503" w:rsidP="001D7503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5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Расчет налога произведен исходя из норматива отчислений, установленного Бюджетным кодексом Российской Федерации (100 процентов). </w:t>
      </w:r>
    </w:p>
    <w:p w:rsidR="00EC5966" w:rsidRPr="00C116DA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E16" w:rsidRPr="00B67877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F15E16">
        <w:rPr>
          <w:rFonts w:ascii="Times New Roman" w:hAnsi="Times New Roman" w:cs="Times New Roman"/>
          <w:sz w:val="24"/>
          <w:szCs w:val="24"/>
        </w:rPr>
        <w:t>налоговых</w:t>
      </w:r>
      <w:r w:rsidR="00F15E16" w:rsidRPr="00B67877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="00F15E16">
        <w:rPr>
          <w:rFonts w:ascii="Times New Roman" w:hAnsi="Times New Roman" w:cs="Times New Roman"/>
          <w:sz w:val="24"/>
          <w:szCs w:val="24"/>
        </w:rPr>
        <w:t xml:space="preserve"> данный вид дохода занимает </w:t>
      </w:r>
      <w:r w:rsidR="00315642">
        <w:rPr>
          <w:rFonts w:ascii="Times New Roman" w:hAnsi="Times New Roman" w:cs="Times New Roman"/>
          <w:sz w:val="24"/>
          <w:szCs w:val="24"/>
        </w:rPr>
        <w:t>10,3</w:t>
      </w:r>
      <w:r w:rsidR="00F15E16">
        <w:rPr>
          <w:rFonts w:ascii="Times New Roman" w:hAnsi="Times New Roman" w:cs="Times New Roman"/>
          <w:sz w:val="24"/>
          <w:szCs w:val="24"/>
        </w:rPr>
        <w:t xml:space="preserve">%.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Темп роста налога на имущество физических лиц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156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156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315642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15642">
        <w:rPr>
          <w:rFonts w:ascii="Times New Roman" w:eastAsia="Times New Roman" w:hAnsi="Times New Roman" w:cs="Times New Roman"/>
          <w:sz w:val="24"/>
          <w:szCs w:val="24"/>
        </w:rPr>
        <w:t>(-2,3)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EC5966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C116DA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3114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 рассчитан</w:t>
      </w:r>
      <w:r w:rsidR="00C855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в сумме </w:t>
      </w:r>
      <w:r w:rsidR="0033114F">
        <w:rPr>
          <w:rFonts w:ascii="Times New Roman" w:eastAsia="Times New Roman" w:hAnsi="Times New Roman" w:cs="Times New Roman"/>
          <w:sz w:val="24"/>
          <w:szCs w:val="24"/>
        </w:rPr>
        <w:t>6432,0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33114F">
        <w:rPr>
          <w:rFonts w:ascii="Times New Roman" w:eastAsia="Times New Roman" w:hAnsi="Times New Roman" w:cs="Times New Roman"/>
          <w:sz w:val="24"/>
          <w:szCs w:val="24"/>
        </w:rPr>
        <w:t>132,0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33114F">
        <w:rPr>
          <w:rFonts w:ascii="Times New Roman" w:eastAsia="Times New Roman" w:hAnsi="Times New Roman" w:cs="Times New Roman"/>
          <w:sz w:val="24"/>
          <w:szCs w:val="24"/>
        </w:rPr>
        <w:t>2,1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выше ожидаемого уровня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3114F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5E16" w:rsidRPr="00B67877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F15E16">
        <w:rPr>
          <w:rFonts w:ascii="Times New Roman" w:hAnsi="Times New Roman" w:cs="Times New Roman"/>
          <w:sz w:val="24"/>
          <w:szCs w:val="24"/>
        </w:rPr>
        <w:t>налоговых</w:t>
      </w:r>
      <w:r w:rsidR="00F15E16" w:rsidRPr="00B67877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="00F15E16">
        <w:rPr>
          <w:rFonts w:ascii="Times New Roman" w:hAnsi="Times New Roman" w:cs="Times New Roman"/>
          <w:sz w:val="24"/>
          <w:szCs w:val="24"/>
        </w:rPr>
        <w:t xml:space="preserve"> данный вид дохода занимает </w:t>
      </w:r>
      <w:r w:rsidR="0033114F">
        <w:rPr>
          <w:rFonts w:ascii="Times New Roman" w:hAnsi="Times New Roman" w:cs="Times New Roman"/>
          <w:sz w:val="24"/>
          <w:szCs w:val="24"/>
        </w:rPr>
        <w:t>10,0</w:t>
      </w:r>
      <w:r w:rsidR="00F15E16">
        <w:rPr>
          <w:rFonts w:ascii="Times New Roman" w:hAnsi="Times New Roman" w:cs="Times New Roman"/>
          <w:sz w:val="24"/>
          <w:szCs w:val="24"/>
        </w:rPr>
        <w:t xml:space="preserve">%.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Темп роста земельного налога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311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3114F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33114F">
        <w:rPr>
          <w:rFonts w:ascii="Times New Roman" w:eastAsia="Times New Roman" w:hAnsi="Times New Roman" w:cs="Times New Roman"/>
          <w:sz w:val="24"/>
          <w:szCs w:val="24"/>
        </w:rPr>
        <w:t>(-1,0)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33114F">
        <w:rPr>
          <w:rFonts w:ascii="Times New Roman" w:eastAsia="Times New Roman" w:hAnsi="Times New Roman" w:cs="Times New Roman"/>
          <w:sz w:val="24"/>
          <w:szCs w:val="24"/>
        </w:rPr>
        <w:t>(-1,0)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D7740" w:rsidRPr="00BD7740" w:rsidRDefault="00BD7740" w:rsidP="00BD7740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D7740">
        <w:rPr>
          <w:rFonts w:ascii="Times New Roman" w:eastAsia="Times New Roman" w:hAnsi="Times New Roman" w:cs="Times New Roman"/>
          <w:sz w:val="24"/>
          <w:szCs w:val="24"/>
        </w:rPr>
        <w:t>Прогнозирование поступлений по земельному налогу осуществлялось на основе  сведений о начисленных суммах,  представленных Управлением ФНС России по Брянской области, с учетом собираемости налога, с учетом кадастровой стоимости земли,  а также ожидаемых результатов по погашению задолженности.</w:t>
      </w:r>
    </w:p>
    <w:p w:rsidR="00BD7740" w:rsidRPr="00BD7740" w:rsidRDefault="00BD7740" w:rsidP="00BD7740">
      <w:pPr>
        <w:widowControl w:val="0"/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40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Расчет налога произведен, исходя из норматива отчислений, установленного Бюджетным кодексом Российской Федерации (100 процентов). </w:t>
      </w:r>
    </w:p>
    <w:p w:rsidR="009F2011" w:rsidRPr="00663741" w:rsidRDefault="00EC5966" w:rsidP="009F20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1">
        <w:rPr>
          <w:rFonts w:ascii="Times New Roman" w:eastAsia="Times New Roman" w:hAnsi="Times New Roman" w:cs="Times New Roman"/>
          <w:b/>
          <w:sz w:val="24"/>
          <w:szCs w:val="24"/>
        </w:rPr>
        <w:t xml:space="preserve">Неналоговые доходы бюджета на </w:t>
      </w:r>
      <w:r w:rsidR="005003A4" w:rsidRPr="00663741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6374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6374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663741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 w:rsidR="00663741">
        <w:rPr>
          <w:rFonts w:ascii="Times New Roman" w:eastAsia="Times New Roman" w:hAnsi="Times New Roman" w:cs="Times New Roman"/>
          <w:sz w:val="24"/>
          <w:szCs w:val="24"/>
        </w:rPr>
        <w:t>855,0</w:t>
      </w:r>
      <w:r w:rsidRPr="0066374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FA7D8A" w:rsidRPr="0066374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663741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5003A4" w:rsidRPr="0066374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3741">
        <w:rPr>
          <w:rFonts w:ascii="Times New Roman" w:eastAsia="Times New Roman" w:hAnsi="Times New Roman" w:cs="Times New Roman"/>
          <w:sz w:val="24"/>
          <w:szCs w:val="24"/>
        </w:rPr>
        <w:t>3 года</w:t>
      </w:r>
      <w:r w:rsidRPr="0066374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63741">
        <w:rPr>
          <w:rFonts w:ascii="Times New Roman" w:eastAsia="Times New Roman" w:hAnsi="Times New Roman" w:cs="Times New Roman"/>
          <w:sz w:val="24"/>
          <w:szCs w:val="24"/>
        </w:rPr>
        <w:t>1294,0</w:t>
      </w:r>
      <w:r w:rsidR="00FA6FA9" w:rsidRPr="00663741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663741">
        <w:rPr>
          <w:rFonts w:ascii="Times New Roman" w:eastAsia="Times New Roman" w:hAnsi="Times New Roman" w:cs="Times New Roman"/>
          <w:sz w:val="24"/>
          <w:szCs w:val="24"/>
        </w:rPr>
        <w:t>ыс. рублей</w:t>
      </w:r>
      <w:r w:rsidR="001119A8" w:rsidRPr="00663741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663741">
        <w:rPr>
          <w:rFonts w:ascii="Times New Roman" w:eastAsia="Times New Roman" w:hAnsi="Times New Roman" w:cs="Times New Roman"/>
          <w:sz w:val="24"/>
          <w:szCs w:val="24"/>
        </w:rPr>
        <w:t>в 2,5 раза</w:t>
      </w:r>
      <w:r w:rsidR="001119A8" w:rsidRPr="006637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2A52" w:rsidRPr="00663741">
        <w:rPr>
          <w:rFonts w:ascii="Times New Roman" w:eastAsia="Times New Roman" w:hAnsi="Times New Roman" w:cs="Times New Roman"/>
          <w:sz w:val="24"/>
          <w:szCs w:val="24"/>
        </w:rPr>
        <w:t xml:space="preserve">Темп </w:t>
      </w:r>
      <w:r w:rsidR="00FA6FA9" w:rsidRPr="00663741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663741">
        <w:rPr>
          <w:rFonts w:ascii="Times New Roman" w:eastAsia="Times New Roman" w:hAnsi="Times New Roman" w:cs="Times New Roman"/>
          <w:sz w:val="24"/>
          <w:szCs w:val="24"/>
        </w:rPr>
        <w:t xml:space="preserve"> неналоговых доходов в </w:t>
      </w:r>
      <w:r w:rsidR="001119A8" w:rsidRPr="00663741">
        <w:rPr>
          <w:rFonts w:ascii="Times New Roman" w:eastAsia="Times New Roman" w:hAnsi="Times New Roman" w:cs="Times New Roman"/>
          <w:sz w:val="24"/>
          <w:szCs w:val="24"/>
        </w:rPr>
        <w:t>плановом периоде</w:t>
      </w:r>
      <w:r w:rsidRPr="0066374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BD2A52" w:rsidRPr="00663741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FA7D8A" w:rsidRPr="0066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FA9" w:rsidRPr="00663741">
        <w:rPr>
          <w:rFonts w:ascii="Times New Roman" w:eastAsia="Times New Roman" w:hAnsi="Times New Roman" w:cs="Times New Roman"/>
          <w:sz w:val="24"/>
          <w:szCs w:val="24"/>
        </w:rPr>
        <w:t>(-2</w:t>
      </w:r>
      <w:r w:rsidR="00663741">
        <w:rPr>
          <w:rFonts w:ascii="Times New Roman" w:eastAsia="Times New Roman" w:hAnsi="Times New Roman" w:cs="Times New Roman"/>
          <w:sz w:val="24"/>
          <w:szCs w:val="24"/>
        </w:rPr>
        <w:t>9,2</w:t>
      </w:r>
      <w:r w:rsidR="00FA6FA9" w:rsidRPr="00663741">
        <w:rPr>
          <w:rFonts w:ascii="Times New Roman" w:eastAsia="Times New Roman" w:hAnsi="Times New Roman" w:cs="Times New Roman"/>
          <w:sz w:val="24"/>
          <w:szCs w:val="24"/>
        </w:rPr>
        <w:t>)%</w:t>
      </w:r>
      <w:r w:rsidR="00FA7D8A" w:rsidRPr="006637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63741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FA6FA9" w:rsidRPr="00663741">
        <w:rPr>
          <w:rFonts w:ascii="Times New Roman" w:eastAsia="Times New Roman" w:hAnsi="Times New Roman" w:cs="Times New Roman"/>
          <w:sz w:val="24"/>
          <w:szCs w:val="24"/>
        </w:rPr>
        <w:t>%</w:t>
      </w:r>
      <w:r w:rsidR="00FA7D8A" w:rsidRPr="00663741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  <w:r w:rsidR="009F2011" w:rsidRPr="00663741"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 бюджета </w:t>
      </w:r>
      <w:proofErr w:type="gramStart"/>
      <w:r w:rsidR="009F2011" w:rsidRPr="00663741">
        <w:rPr>
          <w:rFonts w:ascii="Times New Roman" w:hAnsi="Times New Roman" w:cs="Times New Roman"/>
          <w:sz w:val="24"/>
          <w:szCs w:val="24"/>
        </w:rPr>
        <w:t>неналоговые</w:t>
      </w:r>
      <w:proofErr w:type="gramEnd"/>
      <w:r w:rsidR="009F2011" w:rsidRPr="00663741">
        <w:rPr>
          <w:rFonts w:ascii="Times New Roman" w:hAnsi="Times New Roman" w:cs="Times New Roman"/>
          <w:sz w:val="24"/>
          <w:szCs w:val="24"/>
        </w:rPr>
        <w:t xml:space="preserve">  занимают </w:t>
      </w:r>
      <w:r w:rsidR="00663741">
        <w:rPr>
          <w:rFonts w:ascii="Times New Roman" w:hAnsi="Times New Roman" w:cs="Times New Roman"/>
          <w:sz w:val="24"/>
          <w:szCs w:val="24"/>
        </w:rPr>
        <w:t>1,3</w:t>
      </w:r>
      <w:r w:rsidR="009F2011" w:rsidRPr="00663741">
        <w:rPr>
          <w:rFonts w:ascii="Times New Roman" w:hAnsi="Times New Roman" w:cs="Times New Roman"/>
          <w:sz w:val="24"/>
          <w:szCs w:val="24"/>
        </w:rPr>
        <w:t>%.</w:t>
      </w:r>
    </w:p>
    <w:p w:rsidR="00126908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1">
        <w:rPr>
          <w:rFonts w:ascii="Times New Roman" w:eastAsia="Times New Roman" w:hAnsi="Times New Roman" w:cs="Times New Roman"/>
          <w:sz w:val="24"/>
          <w:szCs w:val="24"/>
        </w:rPr>
        <w:t>Поступление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доходов, от использования имущества, находящегося в государственной и муниципальной  собственности 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A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планируется в сумме </w:t>
      </w:r>
      <w:r w:rsidR="00D92A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430B9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A430B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A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36E" w:rsidRPr="00E7576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92A49">
        <w:rPr>
          <w:rFonts w:ascii="Times New Roman" w:eastAsia="Times New Roman" w:hAnsi="Times New Roman" w:cs="Times New Roman"/>
          <w:sz w:val="24"/>
          <w:szCs w:val="24"/>
        </w:rPr>
        <w:t>250,0</w:t>
      </w:r>
      <w:r w:rsidR="00E75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D92A49">
        <w:rPr>
          <w:rFonts w:ascii="Times New Roman" w:eastAsia="Times New Roman" w:hAnsi="Times New Roman" w:cs="Times New Roman"/>
          <w:sz w:val="24"/>
          <w:szCs w:val="24"/>
        </w:rPr>
        <w:t>41,7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</w:t>
      </w:r>
      <w:r w:rsidR="00126908"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A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году составят </w:t>
      </w:r>
      <w:r w:rsidR="00D92A49">
        <w:rPr>
          <w:rFonts w:ascii="Times New Roman" w:eastAsia="Times New Roman" w:hAnsi="Times New Roman" w:cs="Times New Roman"/>
          <w:sz w:val="24"/>
          <w:szCs w:val="24"/>
        </w:rPr>
        <w:t>40,9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EC5966" w:rsidRPr="00E75769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Прогноз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A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год определен исходя из сведений комитета по управлению муниципальным имуществом администрации Суражского района. </w:t>
      </w:r>
      <w:r w:rsidR="009501D4" w:rsidRPr="009501D4">
        <w:rPr>
          <w:rFonts w:ascii="Times New Roman" w:eastAsia="Times New Roman" w:hAnsi="Times New Roman" w:cs="Times New Roman"/>
          <w:sz w:val="24"/>
          <w:szCs w:val="24"/>
        </w:rPr>
        <w:t xml:space="preserve">Расчет произведен, исходя из норматива отчислений, установленного Бюджетным кодексом Российской Федерации (50 процентов). 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Темп </w:t>
      </w:r>
      <w:r w:rsidR="003E1015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 доходов, от использования имущества, находящегося в государственной и муниципальной  собственности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A49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D0F" w:rsidRPr="00E757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92A4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2D0F" w:rsidRPr="00E75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3E1015">
        <w:rPr>
          <w:rFonts w:ascii="Times New Roman" w:eastAsia="Times New Roman" w:hAnsi="Times New Roman" w:cs="Times New Roman"/>
          <w:sz w:val="24"/>
          <w:szCs w:val="24"/>
        </w:rPr>
        <w:t>(-</w:t>
      </w:r>
      <w:r w:rsidR="00D92A49">
        <w:rPr>
          <w:rFonts w:ascii="Times New Roman" w:eastAsia="Times New Roman" w:hAnsi="Times New Roman" w:cs="Times New Roman"/>
          <w:sz w:val="24"/>
          <w:szCs w:val="24"/>
        </w:rPr>
        <w:t>14,3</w:t>
      </w:r>
      <w:r w:rsidR="003E1015">
        <w:rPr>
          <w:rFonts w:ascii="Times New Roman" w:eastAsia="Times New Roman" w:hAnsi="Times New Roman" w:cs="Times New Roman"/>
          <w:sz w:val="24"/>
          <w:szCs w:val="24"/>
        </w:rPr>
        <w:t>)%</w:t>
      </w:r>
      <w:r w:rsidR="00A430B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92A49">
        <w:rPr>
          <w:rFonts w:ascii="Times New Roman" w:eastAsia="Times New Roman" w:hAnsi="Times New Roman" w:cs="Times New Roman"/>
          <w:sz w:val="24"/>
          <w:szCs w:val="24"/>
        </w:rPr>
        <w:t xml:space="preserve"> 0,0</w:t>
      </w: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126908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769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E75769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доходов, от продажи материальных</w:t>
      </w: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нематериальных активов  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243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A6083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в сумме </w:t>
      </w:r>
      <w:r w:rsidR="003243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FA6083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24329">
        <w:rPr>
          <w:rFonts w:ascii="Times New Roman" w:eastAsia="Times New Roman" w:hAnsi="Times New Roman" w:cs="Times New Roman"/>
          <w:sz w:val="24"/>
          <w:szCs w:val="24"/>
        </w:rPr>
        <w:t>650,0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324329">
        <w:rPr>
          <w:rFonts w:ascii="Times New Roman" w:eastAsia="Times New Roman" w:hAnsi="Times New Roman" w:cs="Times New Roman"/>
          <w:sz w:val="24"/>
          <w:szCs w:val="24"/>
        </w:rPr>
        <w:t>в 2,3 раза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32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 xml:space="preserve"> ож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идаемо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243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A33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В структуре </w:t>
      </w:r>
      <w:r w:rsidR="00126908"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году составят 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>39,7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C5966" w:rsidRDefault="00EC5966" w:rsidP="00EC5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Прогноз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069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 определен исходя из сведений комитета по управлению муниципальным имуществом администрации Суражского района. Темп 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доходов, от продажи материальных и нематериальных активов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06958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06958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C06958">
        <w:rPr>
          <w:rFonts w:ascii="Times New Roman" w:eastAsia="Times New Roman" w:hAnsi="Times New Roman" w:cs="Times New Roman"/>
          <w:sz w:val="24"/>
          <w:szCs w:val="24"/>
        </w:rPr>
        <w:t>(-40,0)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>%</w:t>
      </w:r>
      <w:r w:rsidR="004A33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874AA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5874AA" w:rsidRDefault="005874AA" w:rsidP="00587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Штрафы, санкции, возмещение ущерба</w:t>
      </w:r>
      <w:r w:rsidRPr="00111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6958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C06958" w:rsidRPr="00C069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695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прогнозируются в объеме </w:t>
      </w:r>
      <w:r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6E4532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6E453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116D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E453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E4532">
        <w:rPr>
          <w:rFonts w:ascii="Times New Roman" w:eastAsia="Times New Roman" w:hAnsi="Times New Roman" w:cs="Times New Roman"/>
          <w:sz w:val="24"/>
          <w:szCs w:val="24"/>
        </w:rPr>
        <w:t xml:space="preserve"> на 55,0 тыс. рублей, или в 12,0 раз</w:t>
      </w:r>
      <w:r>
        <w:rPr>
          <w:rFonts w:ascii="Times New Roman" w:eastAsia="Times New Roman" w:hAnsi="Times New Roman" w:cs="Times New Roman"/>
          <w:sz w:val="24"/>
          <w:szCs w:val="24"/>
        </w:rPr>
        <w:t>. В плановом периоде 202</w:t>
      </w:r>
      <w:r w:rsidR="006E453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E453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 прогнозируются на уровне 202</w:t>
      </w:r>
      <w:r w:rsidR="006E453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EC5966" w:rsidRPr="009501D4" w:rsidRDefault="00EC5966" w:rsidP="00EC5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1D4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в </w:t>
      </w:r>
      <w:r w:rsidR="005003A4" w:rsidRPr="009501D4">
        <w:rPr>
          <w:rFonts w:ascii="Times New Roman" w:hAnsi="Times New Roman" w:cs="Times New Roman"/>
          <w:b/>
          <w:sz w:val="24"/>
          <w:szCs w:val="24"/>
        </w:rPr>
        <w:t>202</w:t>
      </w:r>
      <w:r w:rsidR="009501D4">
        <w:rPr>
          <w:rFonts w:ascii="Times New Roman" w:hAnsi="Times New Roman" w:cs="Times New Roman"/>
          <w:b/>
          <w:sz w:val="24"/>
          <w:szCs w:val="24"/>
        </w:rPr>
        <w:t>4</w:t>
      </w:r>
      <w:r w:rsidRPr="009501D4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9501D4">
        <w:rPr>
          <w:rFonts w:ascii="Times New Roman" w:hAnsi="Times New Roman" w:cs="Times New Roman"/>
          <w:sz w:val="24"/>
          <w:szCs w:val="24"/>
        </w:rPr>
        <w:t xml:space="preserve"> планируются в сумме </w:t>
      </w:r>
      <w:r w:rsidR="009501D4">
        <w:rPr>
          <w:rFonts w:ascii="Times New Roman" w:hAnsi="Times New Roman" w:cs="Times New Roman"/>
          <w:sz w:val="24"/>
          <w:szCs w:val="24"/>
        </w:rPr>
        <w:t>82756,6</w:t>
      </w:r>
      <w:r w:rsidR="00166D88" w:rsidRPr="009501D4">
        <w:rPr>
          <w:rFonts w:ascii="Times New Roman" w:hAnsi="Times New Roman" w:cs="Times New Roman"/>
          <w:sz w:val="24"/>
          <w:szCs w:val="24"/>
        </w:rPr>
        <w:t xml:space="preserve"> </w:t>
      </w:r>
      <w:r w:rsidRPr="009501D4">
        <w:rPr>
          <w:rFonts w:ascii="Times New Roman" w:hAnsi="Times New Roman" w:cs="Times New Roman"/>
          <w:sz w:val="24"/>
          <w:szCs w:val="24"/>
        </w:rPr>
        <w:t xml:space="preserve">тыс. рублей, что ниже ожидаемого уровня исполнения бюджета </w:t>
      </w:r>
      <w:r w:rsidR="005003A4" w:rsidRPr="009501D4">
        <w:rPr>
          <w:rFonts w:ascii="Times New Roman" w:hAnsi="Times New Roman" w:cs="Times New Roman"/>
          <w:sz w:val="24"/>
          <w:szCs w:val="24"/>
        </w:rPr>
        <w:t>202</w:t>
      </w:r>
      <w:r w:rsidR="009501D4">
        <w:rPr>
          <w:rFonts w:ascii="Times New Roman" w:hAnsi="Times New Roman" w:cs="Times New Roman"/>
          <w:sz w:val="24"/>
          <w:szCs w:val="24"/>
        </w:rPr>
        <w:t>3</w:t>
      </w:r>
      <w:r w:rsidR="00CA736E" w:rsidRPr="009501D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501D4">
        <w:rPr>
          <w:rFonts w:ascii="Times New Roman" w:hAnsi="Times New Roman" w:cs="Times New Roman"/>
          <w:sz w:val="24"/>
          <w:szCs w:val="24"/>
        </w:rPr>
        <w:t xml:space="preserve"> на </w:t>
      </w:r>
      <w:r w:rsidR="009501D4">
        <w:rPr>
          <w:rFonts w:ascii="Times New Roman" w:hAnsi="Times New Roman" w:cs="Times New Roman"/>
          <w:sz w:val="24"/>
          <w:szCs w:val="24"/>
        </w:rPr>
        <w:t>298907,8</w:t>
      </w:r>
      <w:r w:rsidRPr="009501D4">
        <w:rPr>
          <w:rFonts w:ascii="Times New Roman" w:hAnsi="Times New Roman" w:cs="Times New Roman"/>
          <w:sz w:val="24"/>
          <w:szCs w:val="24"/>
        </w:rPr>
        <w:t xml:space="preserve"> тыс. рублей,  или </w:t>
      </w:r>
      <w:r w:rsidR="00F67385" w:rsidRPr="009501D4">
        <w:rPr>
          <w:rFonts w:ascii="Times New Roman" w:hAnsi="Times New Roman" w:cs="Times New Roman"/>
          <w:sz w:val="24"/>
          <w:szCs w:val="24"/>
        </w:rPr>
        <w:t xml:space="preserve">в </w:t>
      </w:r>
      <w:r w:rsidR="009501D4">
        <w:rPr>
          <w:rFonts w:ascii="Times New Roman" w:hAnsi="Times New Roman" w:cs="Times New Roman"/>
          <w:sz w:val="24"/>
          <w:szCs w:val="24"/>
        </w:rPr>
        <w:t>4,6</w:t>
      </w:r>
      <w:r w:rsidR="00F67385" w:rsidRPr="009501D4">
        <w:rPr>
          <w:rFonts w:ascii="Times New Roman" w:hAnsi="Times New Roman" w:cs="Times New Roman"/>
          <w:sz w:val="24"/>
          <w:szCs w:val="24"/>
        </w:rPr>
        <w:t xml:space="preserve"> раза за счет уменьшения субсидий.</w:t>
      </w:r>
      <w:r w:rsidRPr="0095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501D4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</w:t>
      </w:r>
      <w:r w:rsidR="005003A4" w:rsidRPr="009501D4">
        <w:rPr>
          <w:rFonts w:ascii="Times New Roman" w:hAnsi="Times New Roman" w:cs="Times New Roman"/>
          <w:sz w:val="24"/>
          <w:szCs w:val="24"/>
        </w:rPr>
        <w:t>202</w:t>
      </w:r>
      <w:r w:rsidR="009501D4">
        <w:rPr>
          <w:rFonts w:ascii="Times New Roman" w:hAnsi="Times New Roman" w:cs="Times New Roman"/>
          <w:sz w:val="24"/>
          <w:szCs w:val="24"/>
        </w:rPr>
        <w:t>4</w:t>
      </w:r>
      <w:r w:rsidRPr="009501D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501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501D4">
        <w:rPr>
          <w:rFonts w:ascii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9501D4">
        <w:rPr>
          <w:rFonts w:ascii="Times New Roman" w:hAnsi="Times New Roman" w:cs="Times New Roman"/>
          <w:sz w:val="24"/>
          <w:szCs w:val="24"/>
        </w:rPr>
        <w:t>55,9</w:t>
      </w:r>
      <w:r w:rsidRPr="009501D4">
        <w:rPr>
          <w:rFonts w:ascii="Times New Roman" w:hAnsi="Times New Roman" w:cs="Times New Roman"/>
          <w:sz w:val="24"/>
          <w:szCs w:val="24"/>
        </w:rPr>
        <w:t xml:space="preserve">%. </w:t>
      </w:r>
      <w:r w:rsidR="005167CE" w:rsidRPr="009501D4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приходится на Субсидии – </w:t>
      </w:r>
      <w:r w:rsidR="00181E73" w:rsidRPr="009501D4">
        <w:rPr>
          <w:rFonts w:ascii="Times New Roman" w:hAnsi="Times New Roman" w:cs="Times New Roman"/>
          <w:sz w:val="24"/>
          <w:szCs w:val="24"/>
        </w:rPr>
        <w:t>100,0</w:t>
      </w:r>
      <w:r w:rsidR="005167CE" w:rsidRPr="009501D4">
        <w:rPr>
          <w:rFonts w:ascii="Times New Roman" w:hAnsi="Times New Roman" w:cs="Times New Roman"/>
          <w:sz w:val="24"/>
          <w:szCs w:val="24"/>
        </w:rPr>
        <w:t>%.</w:t>
      </w:r>
    </w:p>
    <w:p w:rsidR="00EC5966" w:rsidRPr="009501D4" w:rsidRDefault="009501D4" w:rsidP="009501D4">
      <w:pPr>
        <w:tabs>
          <w:tab w:val="center" w:pos="5037"/>
          <w:tab w:val="right" w:pos="9355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0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5966" w:rsidRPr="009501D4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  <w:r w:rsidRPr="009501D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C5966" w:rsidRPr="003F1AD2" w:rsidRDefault="00EC5966" w:rsidP="00EC5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в </w:t>
      </w:r>
      <w:r w:rsidR="005003A4" w:rsidRPr="009501D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0D4E2A" w:rsidRPr="009501D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950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и плановом периоде </w:t>
      </w:r>
      <w:r w:rsidR="005003A4" w:rsidRPr="009501D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0D4E2A" w:rsidRPr="009501D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501D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003A4" w:rsidRPr="009501D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0D4E2A" w:rsidRPr="009501D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501D4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EC5966" w:rsidRPr="003F1AD2" w:rsidRDefault="00EC5966" w:rsidP="00EC596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1AD2">
        <w:rPr>
          <w:rFonts w:ascii="Times New Roman" w:hAnsi="Times New Roman" w:cs="Times New Roman"/>
          <w:sz w:val="24"/>
          <w:szCs w:val="24"/>
        </w:rPr>
        <w:t>Таблица №</w:t>
      </w:r>
      <w:r w:rsidR="00565C4C">
        <w:rPr>
          <w:rFonts w:ascii="Times New Roman" w:hAnsi="Times New Roman" w:cs="Times New Roman"/>
          <w:sz w:val="24"/>
          <w:szCs w:val="24"/>
        </w:rPr>
        <w:t xml:space="preserve"> 7</w:t>
      </w:r>
      <w:r w:rsidRPr="003F1AD2">
        <w:rPr>
          <w:rFonts w:ascii="Times New Roman" w:hAnsi="Times New Roman" w:cs="Times New Roman"/>
          <w:sz w:val="24"/>
          <w:szCs w:val="24"/>
        </w:rPr>
        <w:t>, тыс. рублей</w:t>
      </w:r>
    </w:p>
    <w:tbl>
      <w:tblPr>
        <w:tblW w:w="942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767"/>
        <w:gridCol w:w="752"/>
        <w:gridCol w:w="469"/>
        <w:gridCol w:w="752"/>
        <w:gridCol w:w="752"/>
        <w:gridCol w:w="961"/>
        <w:gridCol w:w="850"/>
        <w:gridCol w:w="670"/>
        <w:gridCol w:w="692"/>
        <w:gridCol w:w="692"/>
        <w:gridCol w:w="692"/>
      </w:tblGrid>
      <w:tr w:rsidR="000B3174" w:rsidRPr="00EC5966" w:rsidTr="00C542FA">
        <w:trPr>
          <w:trHeight w:val="58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6D5" w:rsidRDefault="00166D88" w:rsidP="008C26D5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</w:t>
            </w:r>
            <w:proofErr w:type="spellStart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</w:t>
            </w:r>
            <w:proofErr w:type="spellEnd"/>
          </w:p>
          <w:p w:rsidR="00166D88" w:rsidRPr="00EC5966" w:rsidRDefault="00166D88" w:rsidP="000D4E2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spellEnd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бюджета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D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0D4E2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D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46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66D88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166D88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 %</w:t>
            </w:r>
          </w:p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D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0D4E2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D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0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0B3174" w:rsidRPr="00EC5966" w:rsidTr="00C542FA">
        <w:trPr>
          <w:trHeight w:val="255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left w:val="nil"/>
              <w:right w:val="single" w:sz="4" w:space="0" w:color="auto"/>
            </w:tcBorders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166D88" w:rsidP="00EC596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0B3174" w:rsidRPr="00EC5966" w:rsidTr="00C542FA">
        <w:trPr>
          <w:trHeight w:val="1020"/>
        </w:trPr>
        <w:tc>
          <w:tcPr>
            <w:tcW w:w="1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D88" w:rsidRPr="00EC5966" w:rsidRDefault="00166D88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5003A4" w:rsidP="000D4E2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D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к </w:t>
            </w:r>
            <w:proofErr w:type="spellStart"/>
            <w:r w:rsidR="00241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</w:t>
            </w:r>
            <w:proofErr w:type="spellEnd"/>
            <w:r w:rsidR="00241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D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6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5003A4" w:rsidP="000D4E2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D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5003A4" w:rsidP="000D4E2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D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5003A4" w:rsidP="000D4E2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D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к </w:t>
            </w:r>
            <w:proofErr w:type="spellStart"/>
            <w:r w:rsidR="00241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</w:t>
            </w:r>
            <w:proofErr w:type="spellEnd"/>
            <w:r w:rsidR="00241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D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6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5003A4" w:rsidP="000D4E2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D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D88" w:rsidRPr="00EC5966" w:rsidRDefault="005003A4" w:rsidP="000D4E2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0D4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66D88"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D4F9F" w:rsidRPr="00EC5966" w:rsidTr="00C542FA">
        <w:trPr>
          <w:trHeight w:val="25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F9F" w:rsidRPr="00EC5966" w:rsidRDefault="002D4F9F" w:rsidP="00EC596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</w:t>
            </w:r>
          </w:p>
          <w:p w:rsidR="002D4F9F" w:rsidRPr="00EC5966" w:rsidRDefault="002D4F9F" w:rsidP="00EC596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НЫЕ ПОСТУПЛЕНИЯ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381664,4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82756,6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12182,7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12182,7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-298907,8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-70573,9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2D4F9F" w:rsidRPr="00EC5966" w:rsidTr="00C542FA">
        <w:trPr>
          <w:trHeight w:val="510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F9F" w:rsidRPr="00EC5966" w:rsidRDefault="002D4F9F" w:rsidP="007E146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D4F9F" w:rsidRPr="00EC5966" w:rsidTr="00C542FA">
        <w:trPr>
          <w:trHeight w:val="76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F9F" w:rsidRPr="00EC5966" w:rsidRDefault="002D4F9F" w:rsidP="007E146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381534,2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82756,4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12182,5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12182,5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-298777,8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-70573,9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D4F9F" w:rsidRPr="00EC5966" w:rsidTr="00C542FA">
        <w:trPr>
          <w:trHeight w:val="52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F9F" w:rsidRPr="00EC5966" w:rsidRDefault="002D4F9F" w:rsidP="007E146E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D4F9F" w:rsidRPr="00EC5966" w:rsidTr="00C542FA">
        <w:trPr>
          <w:trHeight w:val="31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F9F" w:rsidRPr="00EC5966" w:rsidRDefault="002D4F9F" w:rsidP="00EC596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D4F9F" w:rsidRPr="00EC5966" w:rsidTr="00C542FA">
        <w:trPr>
          <w:trHeight w:val="31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F9F" w:rsidRPr="00EC5966" w:rsidRDefault="002D4F9F" w:rsidP="00EC596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</w:tr>
      <w:tr w:rsidR="002D4F9F" w:rsidRPr="00EC5966" w:rsidTr="00C542FA">
        <w:trPr>
          <w:trHeight w:val="1035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F9F" w:rsidRPr="00EC5966" w:rsidRDefault="002D4F9F" w:rsidP="00EC5966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F9F" w:rsidRPr="002D4F9F" w:rsidRDefault="002D4F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F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5167CE" w:rsidRDefault="005167CE" w:rsidP="00093B22">
      <w:pPr>
        <w:spacing w:after="0" w:line="240" w:lineRule="auto"/>
        <w:ind w:right="-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7CE">
        <w:rPr>
          <w:rFonts w:ascii="Times New Roman" w:eastAsia="Times New Roman" w:hAnsi="Times New Roman" w:cs="Times New Roman"/>
          <w:b/>
          <w:sz w:val="24"/>
          <w:szCs w:val="24"/>
        </w:rPr>
        <w:t xml:space="preserve">Субсидии </w:t>
      </w:r>
      <w:r w:rsidRPr="005167CE">
        <w:rPr>
          <w:rFonts w:ascii="Times New Roman" w:eastAsia="Times New Roman" w:hAnsi="Times New Roman" w:cs="Times New Roman"/>
          <w:sz w:val="24"/>
          <w:szCs w:val="24"/>
        </w:rPr>
        <w:t xml:space="preserve">бюджетам субъектов РФ и муниципальных образований (межбюджетные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5167CE">
        <w:rPr>
          <w:rFonts w:ascii="Times New Roman" w:eastAsia="Times New Roman" w:hAnsi="Times New Roman" w:cs="Times New Roman"/>
          <w:sz w:val="24"/>
          <w:szCs w:val="24"/>
        </w:rPr>
        <w:t>бсидии)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объеме </w:t>
      </w:r>
      <w:r w:rsidR="00682809">
        <w:rPr>
          <w:rFonts w:ascii="Times New Roman" w:eastAsia="Times New Roman" w:hAnsi="Times New Roman" w:cs="Times New Roman"/>
          <w:sz w:val="24"/>
          <w:szCs w:val="24"/>
        </w:rPr>
        <w:t>82756,4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CE3D2F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82809">
        <w:rPr>
          <w:rFonts w:ascii="Times New Roman" w:eastAsia="Times New Roman" w:hAnsi="Times New Roman" w:cs="Times New Roman"/>
          <w:sz w:val="24"/>
          <w:szCs w:val="24"/>
        </w:rPr>
        <w:t>298777,8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682809">
        <w:rPr>
          <w:rFonts w:ascii="Times New Roman" w:eastAsia="Times New Roman" w:hAnsi="Times New Roman" w:cs="Times New Roman"/>
          <w:sz w:val="24"/>
          <w:szCs w:val="24"/>
        </w:rPr>
        <w:t xml:space="preserve">, или в 4,6 раза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ниже оценки исполнения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8280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82809" w:rsidRPr="00682809" w:rsidRDefault="00682809" w:rsidP="006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09">
        <w:rPr>
          <w:rFonts w:ascii="Times New Roman" w:eastAsia="Times New Roman" w:hAnsi="Times New Roman" w:cs="Times New Roman"/>
          <w:sz w:val="24"/>
          <w:szCs w:val="24"/>
        </w:rPr>
        <w:t>В 2024 году планируются:</w:t>
      </w:r>
    </w:p>
    <w:p w:rsidR="00682809" w:rsidRPr="00682809" w:rsidRDefault="00682809" w:rsidP="006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09">
        <w:rPr>
          <w:rFonts w:ascii="Times New Roman" w:eastAsia="Times New Roman" w:hAnsi="Times New Roman" w:cs="Times New Roman"/>
          <w:sz w:val="24"/>
          <w:szCs w:val="24"/>
        </w:rPr>
        <w:t>-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6091</w:t>
      </w:r>
      <w:r>
        <w:rPr>
          <w:rFonts w:ascii="Times New Roman" w:eastAsia="Times New Roman" w:hAnsi="Times New Roman" w:cs="Times New Roman"/>
          <w:sz w:val="24"/>
          <w:szCs w:val="24"/>
        </w:rPr>
        <w:t>,3 тыс.</w:t>
      </w:r>
      <w:r w:rsidRPr="00682809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682809" w:rsidRPr="00682809" w:rsidRDefault="00682809" w:rsidP="006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09">
        <w:rPr>
          <w:rFonts w:ascii="Times New Roman" w:eastAsia="Times New Roman" w:hAnsi="Times New Roman" w:cs="Times New Roman"/>
          <w:sz w:val="24"/>
          <w:szCs w:val="24"/>
        </w:rPr>
        <w:t>- субсидии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сумме 73115</w:t>
      </w:r>
      <w:r>
        <w:rPr>
          <w:rFonts w:ascii="Times New Roman" w:eastAsia="Times New Roman" w:hAnsi="Times New Roman" w:cs="Times New Roman"/>
          <w:sz w:val="24"/>
          <w:szCs w:val="24"/>
        </w:rPr>
        <w:t>,2 тыс.</w:t>
      </w:r>
      <w:r w:rsidRPr="00682809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682809" w:rsidRDefault="00682809" w:rsidP="006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809">
        <w:rPr>
          <w:rFonts w:ascii="Times New Roman" w:eastAsia="Times New Roman" w:hAnsi="Times New Roman" w:cs="Times New Roman"/>
          <w:sz w:val="24"/>
          <w:szCs w:val="24"/>
        </w:rPr>
        <w:tab/>
        <w:t>- субсидии бюджетам городских поселений на реализацию программ формирования современной городской среды в сумме 35</w:t>
      </w:r>
      <w:r>
        <w:rPr>
          <w:rFonts w:ascii="Times New Roman" w:eastAsia="Times New Roman" w:hAnsi="Times New Roman" w:cs="Times New Roman"/>
          <w:sz w:val="24"/>
          <w:szCs w:val="24"/>
        </w:rPr>
        <w:t>50,0 тыс.</w:t>
      </w:r>
      <w:r w:rsidRPr="00682809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Default="00EC5966" w:rsidP="006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7CE">
        <w:rPr>
          <w:rFonts w:ascii="Times New Roman" w:eastAsia="Times New Roman" w:hAnsi="Times New Roman" w:cs="Times New Roman"/>
          <w:b/>
          <w:sz w:val="24"/>
          <w:szCs w:val="24"/>
        </w:rPr>
        <w:t>Субвенции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в бюджете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79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составляют 0,2 тыс. рублей, что </w:t>
      </w:r>
      <w:r w:rsidR="00E4065C" w:rsidRPr="003F1AD2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E4065C" w:rsidRPr="003F1AD2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E4065C" w:rsidRPr="003F1AD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F22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79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4065C" w:rsidRPr="003F1A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Субвенции предусмотрены на выполнение передаваемых полномочий субъектов РФ в сумме 0,2 тыс. рублей.</w:t>
      </w:r>
    </w:p>
    <w:p w:rsidR="008E4744" w:rsidRPr="008E4744" w:rsidRDefault="00346D15" w:rsidP="008E4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8E4744" w:rsidRPr="008E4744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отвечает нормам, установленными статьей 174.1 Бюджетного кодекса Российской Федерации, в условиях действующего на день </w:t>
      </w:r>
      <w:r w:rsidR="008E4744" w:rsidRPr="008E4744">
        <w:rPr>
          <w:rFonts w:ascii="Times New Roman" w:eastAsia="Times New Roman" w:hAnsi="Times New Roman" w:cs="Times New Roman"/>
          <w:sz w:val="24"/>
          <w:szCs w:val="24"/>
        </w:rPr>
        <w:lastRenderedPageBreak/>
        <w:t>внесения проекта решения о бюджете в законодательный (представительный) орган, законодательства о налогах и сборах и бюджетного законодательства.</w:t>
      </w:r>
      <w:proofErr w:type="gramEnd"/>
    </w:p>
    <w:p w:rsidR="008E4744" w:rsidRPr="008E4744" w:rsidRDefault="008E4744" w:rsidP="008E4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744">
        <w:rPr>
          <w:rFonts w:ascii="Times New Roman" w:eastAsia="Times New Roman" w:hAnsi="Times New Roman" w:cs="Times New Roman"/>
          <w:sz w:val="24"/>
          <w:szCs w:val="24"/>
        </w:rPr>
        <w:t xml:space="preserve">При расчетах соблюдены положения нормативно-правовых актов Российской Федерации и Брянской области, предусматривающие изменения в законодательство о налогах и сборах, вступающие в действие с 1 января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79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4744">
        <w:rPr>
          <w:rFonts w:ascii="Times New Roman" w:eastAsia="Times New Roman" w:hAnsi="Times New Roman" w:cs="Times New Roman"/>
          <w:sz w:val="24"/>
          <w:szCs w:val="24"/>
        </w:rPr>
        <w:t xml:space="preserve"> года и последующие годы.</w:t>
      </w:r>
    </w:p>
    <w:p w:rsidR="00EC5966" w:rsidRPr="001C716B" w:rsidRDefault="00EC5966" w:rsidP="00EC5966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716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расходной части проекта бюджета</w:t>
      </w:r>
    </w:p>
    <w:p w:rsidR="00EC5966" w:rsidRPr="001C716B" w:rsidRDefault="00EC5966" w:rsidP="00EC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16B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D567AF" w:rsidRPr="001C716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003A4" w:rsidRPr="001C716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71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67AF" w:rsidRPr="001C716B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Pr="001C716B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1C716B">
        <w:rPr>
          <w:rFonts w:ascii="Times New Roman" w:eastAsia="Times New Roman" w:hAnsi="Times New Roman" w:cs="Times New Roman"/>
          <w:sz w:val="24"/>
          <w:szCs w:val="24"/>
        </w:rPr>
        <w:t>148094,6</w:t>
      </w:r>
      <w:r w:rsidRPr="001C716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отношению к объему расходов, ожидаемому в</w:t>
      </w:r>
      <w:r w:rsidRPr="001C71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03A4" w:rsidRPr="001C716B">
        <w:rPr>
          <w:rFonts w:ascii="Times New Roman" w:eastAsia="Times New Roman" w:hAnsi="Times New Roman" w:cs="Times New Roman"/>
          <w:spacing w:val="-2"/>
          <w:sz w:val="24"/>
          <w:szCs w:val="24"/>
        </w:rPr>
        <w:t>202</w:t>
      </w:r>
      <w:r w:rsidR="001C716B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1C71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году расходы, определенные</w:t>
      </w:r>
      <w:r w:rsidRPr="001C716B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ниже на </w:t>
      </w:r>
      <w:r w:rsidR="001C716B">
        <w:rPr>
          <w:rFonts w:ascii="Times New Roman" w:eastAsia="Times New Roman" w:hAnsi="Times New Roman" w:cs="Times New Roman"/>
          <w:sz w:val="24"/>
          <w:szCs w:val="24"/>
        </w:rPr>
        <w:t>298771,4</w:t>
      </w:r>
      <w:r w:rsidR="00D567AF" w:rsidRPr="001C7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16B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1C716B">
        <w:rPr>
          <w:rFonts w:ascii="Times New Roman" w:eastAsia="Times New Roman" w:hAnsi="Times New Roman" w:cs="Times New Roman"/>
          <w:sz w:val="24"/>
          <w:szCs w:val="24"/>
        </w:rPr>
        <w:t>66,9</w:t>
      </w:r>
      <w:r w:rsidRPr="001C716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EC5966" w:rsidRPr="001C716B" w:rsidRDefault="003F1AD2" w:rsidP="00EC5966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7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EC5966" w:rsidRPr="001C7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5003A4" w:rsidRPr="001C716B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185C96" w:rsidRPr="001C716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C5966" w:rsidRPr="001C716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003A4" w:rsidRPr="001C716B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185C96" w:rsidRPr="001C716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C5966" w:rsidRPr="001C716B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346D15" w:rsidRPr="001C716B" w:rsidRDefault="00346D15" w:rsidP="00346D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716B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C7864" w:rsidRPr="001C716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C716B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983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1134"/>
        <w:gridCol w:w="709"/>
        <w:gridCol w:w="992"/>
        <w:gridCol w:w="709"/>
        <w:gridCol w:w="1052"/>
        <w:gridCol w:w="911"/>
        <w:gridCol w:w="1073"/>
        <w:gridCol w:w="851"/>
      </w:tblGrid>
      <w:tr w:rsidR="00470FB1" w:rsidRPr="00EC5966" w:rsidTr="003A378F">
        <w:trPr>
          <w:trHeight w:val="69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517" w:rsidRPr="001C716B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470FB1" w:rsidRPr="001C716B" w:rsidRDefault="00470FB1" w:rsidP="00DB45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1C716B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1C716B" w:rsidRDefault="00470FB1" w:rsidP="001C46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бюджета </w:t>
            </w:r>
            <w:r w:rsidR="005003A4"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C465F"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1C716B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</w:p>
          <w:p w:rsidR="00470FB1" w:rsidRPr="001C716B" w:rsidRDefault="005003A4" w:rsidP="001C46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C465F"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70FB1"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1C716B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</w:p>
          <w:p w:rsidR="00470FB1" w:rsidRPr="001C716B" w:rsidRDefault="005003A4" w:rsidP="001C46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C465F"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70FB1"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1C716B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</w:p>
          <w:p w:rsidR="00470FB1" w:rsidRPr="00EC5966" w:rsidRDefault="005003A4" w:rsidP="001C46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C465F"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70FB1" w:rsidRPr="001C7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470FB1" w:rsidRPr="00EC5966" w:rsidTr="003A378F">
        <w:trPr>
          <w:trHeight w:val="26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FB1" w:rsidRPr="00EC5966" w:rsidRDefault="00470FB1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FB1" w:rsidRPr="00EC5966" w:rsidRDefault="00470FB1" w:rsidP="00EC59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 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B1" w:rsidRPr="00EC5966" w:rsidRDefault="00470FB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02911" w:rsidRPr="00EC5966" w:rsidTr="002B2003">
        <w:trPr>
          <w:trHeight w:val="4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11" w:rsidRPr="00EC5966" w:rsidRDefault="00402911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11" w:rsidRPr="00EC5966" w:rsidRDefault="0040291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402911" w:rsidRPr="00EC5966" w:rsidTr="002B2003">
        <w:trPr>
          <w:trHeight w:val="4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11" w:rsidRPr="00EC5966" w:rsidRDefault="00402911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11" w:rsidRPr="00EC5966" w:rsidRDefault="0040291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34195,5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34214,5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</w:tr>
      <w:tr w:rsidR="00402911" w:rsidRPr="00EC5966" w:rsidTr="002B2003">
        <w:trPr>
          <w:trHeight w:val="4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11" w:rsidRPr="00EC5966" w:rsidRDefault="00402911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5966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</w:t>
            </w:r>
            <w:proofErr w:type="gramEnd"/>
          </w:p>
          <w:p w:rsidR="00402911" w:rsidRPr="00EC5966" w:rsidRDefault="00402911" w:rsidP="00EC351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4"/>
                <w:szCs w:val="14"/>
              </w:rPr>
              <w:t>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11" w:rsidRPr="00EC5966" w:rsidRDefault="0040291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111783,6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35582,8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35787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43,8</w:t>
            </w:r>
          </w:p>
        </w:tc>
      </w:tr>
      <w:tr w:rsidR="00402911" w:rsidRPr="00EC5966" w:rsidTr="002B2003">
        <w:trPr>
          <w:trHeight w:val="3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11" w:rsidRPr="00EC5966" w:rsidRDefault="00402911" w:rsidP="00EC351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11" w:rsidRPr="00EC5966" w:rsidRDefault="0040291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</w:tr>
      <w:tr w:rsidR="00402911" w:rsidRPr="00EC5966" w:rsidTr="002B2003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11" w:rsidRDefault="00402911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C596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СОЦИАЛЬНАЯ </w:t>
            </w:r>
          </w:p>
          <w:p w:rsidR="00402911" w:rsidRPr="00EC5966" w:rsidRDefault="00402911" w:rsidP="00EC351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14"/>
                <w:szCs w:val="14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11" w:rsidRPr="00EC5966" w:rsidRDefault="0040291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02911" w:rsidRPr="00EC5966" w:rsidTr="002B2003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11" w:rsidRPr="00EC5966" w:rsidRDefault="00402911" w:rsidP="00EC59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11" w:rsidRPr="00EC5966" w:rsidRDefault="0040291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911" w:rsidRPr="00402911" w:rsidRDefault="004029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1691,7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3478,5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</w:tr>
      <w:tr w:rsidR="00402911" w:rsidRPr="00EC5966" w:rsidTr="002B2003">
        <w:trPr>
          <w:trHeight w:val="49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11" w:rsidRPr="00EC5966" w:rsidRDefault="00402911" w:rsidP="004F7F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911" w:rsidRPr="00EC5966" w:rsidRDefault="00402911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6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148094,6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79741,7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81751,7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911" w:rsidRPr="00402911" w:rsidRDefault="004029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29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FE0126" w:rsidRDefault="00EC5966" w:rsidP="00FE0126">
      <w:pPr>
        <w:pStyle w:val="21"/>
        <w:spacing w:after="0" w:line="276" w:lineRule="auto"/>
        <w:ind w:left="0"/>
        <w:contextualSpacing/>
        <w:jc w:val="both"/>
      </w:pPr>
      <w:r w:rsidRPr="003F1AD2">
        <w:t>Приоритетным</w:t>
      </w:r>
      <w:r w:rsidR="00C1113F">
        <w:t>и</w:t>
      </w:r>
      <w:r w:rsidRPr="003F1AD2">
        <w:t xml:space="preserve"> направлени</w:t>
      </w:r>
      <w:r w:rsidR="00C1113F">
        <w:t>ями</w:t>
      </w:r>
      <w:r w:rsidRPr="003F1AD2">
        <w:t xml:space="preserve"> расходов бюджета </w:t>
      </w:r>
      <w:r w:rsidR="009C2D06">
        <w:t>Суражского городского поселения</w:t>
      </w:r>
      <w:r w:rsidRPr="003F1AD2">
        <w:t xml:space="preserve"> </w:t>
      </w:r>
      <w:r w:rsidR="0011415C">
        <w:t>на 2024 год и на плановый период 2025 и 2026 годов</w:t>
      </w:r>
      <w:r w:rsidRPr="003F1AD2">
        <w:t xml:space="preserve"> явля</w:t>
      </w:r>
      <w:r w:rsidR="00C1113F">
        <w:t>ются</w:t>
      </w:r>
      <w:r w:rsidRPr="003F1AD2">
        <w:t xml:space="preserve"> </w:t>
      </w:r>
      <w:r w:rsidR="00C1113F">
        <w:t xml:space="preserve">национальная экономика и </w:t>
      </w:r>
      <w:r w:rsidRPr="003F1AD2">
        <w:t>жилищно-коммунальное хозяйство</w:t>
      </w:r>
      <w:r w:rsidR="00E24324">
        <w:t xml:space="preserve">. </w:t>
      </w:r>
    </w:p>
    <w:p w:rsidR="00FE0126" w:rsidRDefault="00FE0126" w:rsidP="00FE0126">
      <w:pPr>
        <w:pStyle w:val="21"/>
        <w:spacing w:after="0" w:line="276" w:lineRule="auto"/>
        <w:ind w:left="0"/>
        <w:contextualSpacing/>
        <w:jc w:val="both"/>
      </w:pPr>
      <w:r w:rsidRPr="00FE0126">
        <w:t xml:space="preserve">Наибольший удельный вес в общем объеме расходов бюджета на </w:t>
      </w:r>
      <w:r w:rsidR="005003A4">
        <w:t>2023</w:t>
      </w:r>
      <w:r w:rsidRPr="00FE0126">
        <w:t>-</w:t>
      </w:r>
      <w:r w:rsidR="005003A4">
        <w:t>2025</w:t>
      </w:r>
      <w:r w:rsidRPr="00FE0126">
        <w:t xml:space="preserve"> годы занимают разделы:</w:t>
      </w:r>
    </w:p>
    <w:p w:rsidR="00D11F42" w:rsidRPr="00FE0126" w:rsidRDefault="00D11F42" w:rsidP="00FE0126">
      <w:pPr>
        <w:pStyle w:val="21"/>
        <w:spacing w:after="0" w:line="276" w:lineRule="auto"/>
        <w:ind w:left="0"/>
        <w:contextualSpacing/>
        <w:jc w:val="both"/>
      </w:pPr>
      <w:r>
        <w:t xml:space="preserve">           </w:t>
      </w:r>
      <w:r w:rsidRPr="00D11F42">
        <w:t xml:space="preserve">- «Жилищно-коммунальное хозяйство» – </w:t>
      </w:r>
      <w:r w:rsidR="00C11BC7">
        <w:t>75,5</w:t>
      </w:r>
      <w:r w:rsidRPr="00D11F42">
        <w:t xml:space="preserve"> %, </w:t>
      </w:r>
      <w:r w:rsidR="00C11BC7">
        <w:t>44,6</w:t>
      </w:r>
      <w:r w:rsidRPr="00D11F42">
        <w:t xml:space="preserve">%,  </w:t>
      </w:r>
      <w:r w:rsidR="00C11BC7">
        <w:t>43,8</w:t>
      </w:r>
      <w:r w:rsidRPr="00D11F42">
        <w:t xml:space="preserve"> % соответственно;</w:t>
      </w:r>
    </w:p>
    <w:p w:rsidR="00FE0126" w:rsidRPr="00FE0126" w:rsidRDefault="00FE0126" w:rsidP="00FE012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126">
        <w:rPr>
          <w:rFonts w:ascii="Times New Roman" w:eastAsia="Times New Roman" w:hAnsi="Times New Roman" w:cs="Times New Roman"/>
          <w:sz w:val="24"/>
          <w:szCs w:val="24"/>
        </w:rPr>
        <w:tab/>
        <w:t xml:space="preserve">- «Национальная экономика» – </w:t>
      </w:r>
      <w:r w:rsidR="00C11BC7">
        <w:rPr>
          <w:rFonts w:ascii="Times New Roman" w:eastAsia="Times New Roman" w:hAnsi="Times New Roman" w:cs="Times New Roman"/>
          <w:sz w:val="24"/>
          <w:szCs w:val="24"/>
        </w:rPr>
        <w:t xml:space="preserve"> 18,9</w:t>
      </w:r>
      <w:r w:rsidRPr="00FE0126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  <w:r w:rsidR="00C11BC7">
        <w:rPr>
          <w:rFonts w:ascii="Times New Roman" w:eastAsia="Times New Roman" w:hAnsi="Times New Roman" w:cs="Times New Roman"/>
          <w:sz w:val="24"/>
          <w:szCs w:val="24"/>
        </w:rPr>
        <w:t xml:space="preserve"> 42,9</w:t>
      </w:r>
      <w:r w:rsidRPr="00FE0126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r w:rsidR="00C11BC7">
        <w:rPr>
          <w:rFonts w:ascii="Times New Roman" w:eastAsia="Times New Roman" w:hAnsi="Times New Roman" w:cs="Times New Roman"/>
          <w:sz w:val="24"/>
          <w:szCs w:val="24"/>
        </w:rPr>
        <w:t>41,9</w:t>
      </w:r>
      <w:r w:rsidRPr="00FE0126">
        <w:rPr>
          <w:rFonts w:ascii="Times New Roman" w:eastAsia="Times New Roman" w:hAnsi="Times New Roman" w:cs="Times New Roman"/>
          <w:sz w:val="24"/>
          <w:szCs w:val="24"/>
        </w:rPr>
        <w:t>% соответственно;</w:t>
      </w:r>
    </w:p>
    <w:p w:rsidR="00EC5966" w:rsidRDefault="00FE0126" w:rsidP="000149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126">
        <w:rPr>
          <w:rFonts w:ascii="Times New Roman" w:eastAsia="Times New Roman" w:hAnsi="Times New Roman" w:cs="Times New Roman"/>
          <w:sz w:val="24"/>
          <w:szCs w:val="24"/>
        </w:rPr>
        <w:tab/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373C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году занимают расходы по  разделу 01 «Общегосударственные вопросы»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9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919">
        <w:rPr>
          <w:rFonts w:ascii="Times New Roman" w:eastAsia="Times New Roman" w:hAnsi="Times New Roman" w:cs="Times New Roman"/>
          <w:sz w:val="24"/>
          <w:szCs w:val="24"/>
        </w:rPr>
        <w:t>менее 1,0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>в расходах бюджета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. Объем расходов по отраслям «социального блока» (культура, социальная политика) составит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149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01492D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01492D">
        <w:rPr>
          <w:rFonts w:ascii="Times New Roman" w:eastAsia="Times New Roman" w:hAnsi="Times New Roman" w:cs="Times New Roman"/>
          <w:sz w:val="24"/>
          <w:szCs w:val="24"/>
        </w:rPr>
        <w:t xml:space="preserve">8140,0 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 xml:space="preserve">тыс. рублей) 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>объема расходов бюджета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B57C3F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 xml:space="preserve"> на  </w:t>
      </w:r>
      <w:r w:rsidR="0001492D">
        <w:rPr>
          <w:rFonts w:ascii="Times New Roman" w:eastAsia="Times New Roman" w:hAnsi="Times New Roman" w:cs="Times New Roman"/>
          <w:sz w:val="24"/>
          <w:szCs w:val="24"/>
        </w:rPr>
        <w:t>3,8</w:t>
      </w:r>
      <w:r w:rsidR="004237C2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 (7285,</w:t>
      </w:r>
      <w:r w:rsidR="0001492D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7C3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1492D">
        <w:rPr>
          <w:rFonts w:ascii="Times New Roman" w:eastAsia="Times New Roman" w:hAnsi="Times New Roman" w:cs="Times New Roman"/>
          <w:sz w:val="24"/>
          <w:szCs w:val="24"/>
        </w:rPr>
        <w:t xml:space="preserve"> – 1,7%</w:t>
      </w:r>
      <w:r w:rsidR="00B57C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 xml:space="preserve">оценки исполнения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149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432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A01" w:rsidRPr="008953E4" w:rsidRDefault="00DF5A01" w:rsidP="00CD69F0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4F56A1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4F56A1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A01" w:rsidRDefault="008953E4" w:rsidP="00CD69F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Условно утверждаемые расходы на плановый период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годы утверждены, соответственно </w:t>
      </w:r>
      <w:r w:rsidR="00BC3A1A">
        <w:rPr>
          <w:rFonts w:ascii="Times New Roman" w:eastAsia="Times New Roman" w:hAnsi="Times New Roman" w:cs="Times New Roman"/>
          <w:sz w:val="24"/>
          <w:szCs w:val="24"/>
        </w:rPr>
        <w:t>1691,7</w:t>
      </w:r>
      <w:r w:rsidR="00914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C3A1A">
        <w:rPr>
          <w:rFonts w:ascii="Times New Roman" w:eastAsia="Times New Roman" w:hAnsi="Times New Roman" w:cs="Times New Roman"/>
          <w:sz w:val="24"/>
          <w:szCs w:val="24"/>
        </w:rPr>
        <w:t>3478,5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Pr="004B389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692C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3891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4B38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92C9E">
        <w:rPr>
          <w:rFonts w:ascii="Times New Roman" w:eastAsia="Times New Roman" w:hAnsi="Times New Roman" w:cs="Times New Roman"/>
          <w:sz w:val="24"/>
          <w:szCs w:val="24"/>
        </w:rPr>
        <w:t>5</w:t>
      </w:r>
      <w:r w:rsidR="004B3891">
        <w:rPr>
          <w:rFonts w:ascii="Times New Roman" w:eastAsia="Times New Roman" w:hAnsi="Times New Roman" w:cs="Times New Roman"/>
          <w:sz w:val="24"/>
          <w:szCs w:val="24"/>
        </w:rPr>
        <w:t>,0%</w:t>
      </w:r>
      <w:r w:rsidR="00DF5A01" w:rsidRPr="00895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C9E" w:rsidRPr="00692C9E">
        <w:rPr>
          <w:rFonts w:ascii="Times New Roman" w:eastAsia="Times New Roman" w:hAnsi="Times New Roman" w:cs="Times New Roman"/>
          <w:sz w:val="24"/>
          <w:szCs w:val="24"/>
        </w:rPr>
        <w:t>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69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389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F5A01">
        <w:rPr>
          <w:rFonts w:ascii="Times New Roman" w:eastAsia="Times New Roman" w:hAnsi="Times New Roman" w:cs="Times New Roman"/>
          <w:sz w:val="24"/>
          <w:szCs w:val="24"/>
        </w:rPr>
        <w:t>граничение ст. 184.1 Бюджетного кодекса РФ соблюдено.</w:t>
      </w:r>
    </w:p>
    <w:p w:rsidR="00EC5966" w:rsidRPr="003F1AD2" w:rsidRDefault="00EC5966" w:rsidP="00EC5966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9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расходов бюджета </w:t>
      </w:r>
      <w:r w:rsidR="00123E59" w:rsidRPr="006A5907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разделам,  подразделам.</w:t>
      </w:r>
    </w:p>
    <w:p w:rsidR="00EC5966" w:rsidRPr="003F1AD2" w:rsidRDefault="00EC5966" w:rsidP="00EC5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A7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3B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pPr w:leftFromText="180" w:rightFromText="180" w:vertAnchor="text" w:horzAnchor="margin" w:tblpXSpec="center" w:tblpY="167"/>
        <w:tblW w:w="100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422"/>
        <w:gridCol w:w="422"/>
        <w:gridCol w:w="843"/>
        <w:gridCol w:w="703"/>
        <w:gridCol w:w="703"/>
        <w:gridCol w:w="843"/>
        <w:gridCol w:w="703"/>
        <w:gridCol w:w="796"/>
        <w:gridCol w:w="765"/>
        <w:gridCol w:w="984"/>
        <w:gridCol w:w="703"/>
        <w:gridCol w:w="704"/>
      </w:tblGrid>
      <w:tr w:rsidR="005A734D" w:rsidRPr="006C1806" w:rsidTr="001A3D11">
        <w:trPr>
          <w:trHeight w:val="285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Подраздел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9714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</w:t>
            </w:r>
            <w:proofErr w:type="spellStart"/>
            <w:proofErr w:type="gramStart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бюд-жета</w:t>
            </w:r>
            <w:proofErr w:type="spellEnd"/>
            <w:proofErr w:type="gramEnd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FC51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7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9714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7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A734D" w:rsidRPr="006C1806" w:rsidRDefault="005003A4" w:rsidP="009714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7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6B" w:rsidRDefault="005A734D" w:rsidP="00FC51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A734D" w:rsidRPr="006C1806" w:rsidRDefault="005003A4" w:rsidP="009714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7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2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5A734D" w:rsidRPr="006C1806" w:rsidTr="001A3D11">
        <w:trPr>
          <w:trHeight w:val="285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3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A734D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5A734D" w:rsidRPr="006C1806" w:rsidTr="001A3D11">
        <w:trPr>
          <w:trHeight w:val="1019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34D" w:rsidRPr="006C1806" w:rsidRDefault="005A734D" w:rsidP="006E53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003A4" w:rsidP="009714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к </w:t>
            </w:r>
            <w:r w:rsidR="001B5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оценке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7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5A7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003A4" w:rsidP="009714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7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003A4" w:rsidP="009714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7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003A4" w:rsidP="009714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7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к </w:t>
            </w:r>
            <w:r w:rsidR="001B5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оценке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7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5A73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003A4" w:rsidP="009714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7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4D" w:rsidRPr="006C1806" w:rsidRDefault="005003A4" w:rsidP="009714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714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A734D"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072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4,2 раза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9055D7" w:rsidRPr="006C1806" w:rsidTr="00316757">
        <w:trPr>
          <w:trHeight w:val="562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9574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</w:tr>
      <w:tr w:rsidR="009055D7" w:rsidRPr="006C1806" w:rsidTr="00316757">
        <w:trPr>
          <w:trHeight w:val="458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</w:tr>
      <w:tr w:rsidR="009055D7" w:rsidRPr="006C1806" w:rsidTr="00316757">
        <w:trPr>
          <w:trHeight w:val="76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9574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выборов и референдумов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380226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28039,3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34195,5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34214,5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-352186,7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6156,2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072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меньше в 13,6 раз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100,1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1489,6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-1489,6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1617,3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072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10,4 раза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055D7" w:rsidRPr="006C1806" w:rsidTr="00316757">
        <w:trPr>
          <w:trHeight w:val="3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377008,8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26244,2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32400,5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32419,5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-350764,6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6156,3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100,1</w:t>
            </w:r>
          </w:p>
        </w:tc>
      </w:tr>
      <w:tr w:rsidR="009055D7" w:rsidRPr="006C1806" w:rsidTr="00316757">
        <w:trPr>
          <w:trHeight w:val="51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055D7" w:rsidRPr="006C1806" w:rsidTr="00316757">
        <w:trPr>
          <w:trHeight w:val="51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2916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57587,7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111783,6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35582,8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35787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54195,9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-76200,8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07242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1,9 раза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100,6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355,5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3575,2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-1575,2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133,3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30448,8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109483,6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33782,8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79034,8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-75700,8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072421" w:rsidP="000724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3,6 раза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23168,2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-23168,2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 w:rsidP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E3536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</w:t>
            </w:r>
          </w:p>
          <w:p w:rsidR="009055D7" w:rsidRPr="006C1806" w:rsidRDefault="009055D7" w:rsidP="00E3536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РАФИЯ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E353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E353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7785,8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314,2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3D6FE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3D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3D6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7785,8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2916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9A49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9A49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9055D7" w:rsidRPr="006C1806" w:rsidTr="00316757">
        <w:trPr>
          <w:trHeight w:val="41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9A49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Пенсионное </w:t>
            </w:r>
            <w:proofErr w:type="spellStart"/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</w:t>
            </w:r>
            <w:proofErr w:type="spellEnd"/>
          </w:p>
          <w:p w:rsidR="009055D7" w:rsidRPr="006C1806" w:rsidRDefault="009055D7" w:rsidP="009A491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9A49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9A49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Социальное </w:t>
            </w:r>
            <w:proofErr w:type="spellStart"/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</w:t>
            </w:r>
            <w:proofErr w:type="spellEnd"/>
          </w:p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чение</w:t>
            </w:r>
            <w:proofErr w:type="spellEnd"/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населения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1194,7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-1194,7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D7" w:rsidRPr="006C1806" w:rsidRDefault="009055D7" w:rsidP="006E53E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1194,7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-1194,7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055D7" w:rsidRPr="006C1806" w:rsidTr="00316757">
        <w:trPr>
          <w:trHeight w:val="25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D7" w:rsidRPr="00EC5966" w:rsidRDefault="009055D7" w:rsidP="00D01C0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5D7" w:rsidRPr="006C1806" w:rsidRDefault="009055D7" w:rsidP="006E5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1691,7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3478,5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1786,8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205,6</w:t>
            </w:r>
          </w:p>
        </w:tc>
      </w:tr>
      <w:tr w:rsidR="009055D7" w:rsidRPr="006C1806" w:rsidTr="00316757">
        <w:trPr>
          <w:trHeight w:val="668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FC4F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</w:t>
            </w:r>
          </w:p>
          <w:p w:rsidR="009055D7" w:rsidRPr="006C1806" w:rsidRDefault="009055D7" w:rsidP="00FC4F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ДОВ: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FC4F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5D7" w:rsidRPr="006C1806" w:rsidRDefault="009055D7" w:rsidP="00FC4F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18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446866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148094,6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79741,7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81751,7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-298771,4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-68352,9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2010,0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D7" w:rsidRPr="009055D7" w:rsidRDefault="009055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055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102,5</w:t>
            </w:r>
          </w:p>
        </w:tc>
      </w:tr>
    </w:tbl>
    <w:p w:rsidR="00EC5966" w:rsidRPr="007C77D9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D9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7242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 год определены в размере </w:t>
      </w:r>
      <w:r w:rsidR="001A2BF8">
        <w:rPr>
          <w:rFonts w:ascii="Times New Roman" w:eastAsia="Times New Roman" w:hAnsi="Times New Roman" w:cs="Times New Roman"/>
          <w:sz w:val="24"/>
          <w:szCs w:val="24"/>
        </w:rPr>
        <w:t xml:space="preserve">131,7 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2807CF" w:rsidRPr="007C77D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A2BF8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2807CF" w:rsidRPr="007C77D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A2BF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2807CF" w:rsidRPr="007C77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77D9">
        <w:rPr>
          <w:rFonts w:ascii="Times New Roman" w:eastAsia="Times New Roman" w:hAnsi="Times New Roman" w:cs="Times New Roman"/>
          <w:sz w:val="24"/>
          <w:szCs w:val="24"/>
        </w:rPr>
        <w:t xml:space="preserve">или в </w:t>
      </w:r>
      <w:r w:rsidR="001A2BF8">
        <w:rPr>
          <w:rFonts w:ascii="Times New Roman" w:eastAsia="Times New Roman" w:hAnsi="Times New Roman" w:cs="Times New Roman"/>
          <w:sz w:val="24"/>
          <w:szCs w:val="24"/>
        </w:rPr>
        <w:t>4,2</w:t>
      </w:r>
      <w:r w:rsidR="007C77D9">
        <w:rPr>
          <w:rFonts w:ascii="Times New Roman" w:eastAsia="Times New Roman" w:hAnsi="Times New Roman" w:cs="Times New Roman"/>
          <w:sz w:val="24"/>
          <w:szCs w:val="24"/>
        </w:rPr>
        <w:t xml:space="preserve"> раза выше</w:t>
      </w:r>
      <w:r w:rsidR="002807CF" w:rsidRPr="007C7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2807CF" w:rsidRPr="007C77D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2807CF" w:rsidRPr="007C77D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A2B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36E" w:rsidRPr="007C77D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321E0" w:rsidRPr="007C77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7D9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="007422BB" w:rsidRPr="007C77D9">
        <w:rPr>
          <w:rFonts w:ascii="Times New Roman" w:eastAsia="Times New Roman" w:hAnsi="Times New Roman" w:cs="Times New Roman"/>
          <w:sz w:val="24"/>
          <w:szCs w:val="24"/>
        </w:rPr>
        <w:t>произошло за счет расходов по подразделу 01</w:t>
      </w:r>
      <w:r w:rsidR="007C77D9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7422BB" w:rsidRPr="007C77D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7422BB" w:rsidRPr="007C77D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C77D9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Резервные фонды».</w:t>
      </w:r>
      <w:r w:rsidR="007422BB" w:rsidRPr="007C7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>В структуре расход</w:t>
      </w:r>
      <w:r w:rsidR="00E53E00">
        <w:rPr>
          <w:rFonts w:ascii="Times New Roman" w:eastAsia="Times New Roman" w:hAnsi="Times New Roman" w:cs="Times New Roman"/>
          <w:sz w:val="24"/>
          <w:szCs w:val="24"/>
        </w:rPr>
        <w:t xml:space="preserve">ы раздела 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A2BF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 году составят </w:t>
      </w:r>
      <w:r w:rsidR="007C77D9">
        <w:rPr>
          <w:rFonts w:ascii="Times New Roman" w:eastAsia="Times New Roman" w:hAnsi="Times New Roman" w:cs="Times New Roman"/>
          <w:sz w:val="24"/>
          <w:szCs w:val="24"/>
        </w:rPr>
        <w:t>0,</w:t>
      </w:r>
      <w:r w:rsidR="00044E3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A2BF8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D0F" w:rsidRPr="007C77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A2BF8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2D0F" w:rsidRPr="007C7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100,0% соответственно.  </w:t>
      </w:r>
    </w:p>
    <w:p w:rsidR="00EC5966" w:rsidRPr="007C77D9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D9">
        <w:rPr>
          <w:rFonts w:ascii="Times New Roman" w:eastAsia="Times New Roman" w:hAnsi="Times New Roman" w:cs="Times New Roman"/>
          <w:sz w:val="24"/>
          <w:szCs w:val="24"/>
        </w:rPr>
        <w:t>Данные расходы определены в подразделах:</w:t>
      </w:r>
    </w:p>
    <w:p w:rsidR="00EC5966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D9">
        <w:rPr>
          <w:rFonts w:ascii="Times New Roman" w:eastAsia="Times New Roman" w:hAnsi="Times New Roman" w:cs="Times New Roman"/>
          <w:b/>
          <w:sz w:val="24"/>
          <w:szCs w:val="24"/>
        </w:rPr>
        <w:t>01 06 «Обеспечение деятельности финансовых, налоговых и таможенных органов и органов финансового (финансово-бюджетного) надзора»</w:t>
      </w:r>
      <w:r w:rsidRPr="007C77D9">
        <w:rPr>
          <w:rFonts w:ascii="Times New Roman" w:eastAsia="Times New Roman" w:hAnsi="Times New Roman" w:cs="Times New Roman"/>
          <w:sz w:val="24"/>
          <w:szCs w:val="24"/>
        </w:rPr>
        <w:t xml:space="preserve"> в сумме 0,5 тыс. рублей и предусмотрены на финансирование полномочий по осуществлению внешнего муниципального финансового контроля Контрольно-счетной палатой Суражского муниципального района;</w:t>
      </w:r>
    </w:p>
    <w:p w:rsidR="00E442D7" w:rsidRPr="007C77D9" w:rsidRDefault="00E442D7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16">
        <w:rPr>
          <w:rFonts w:ascii="Times New Roman" w:eastAsia="Times New Roman" w:hAnsi="Times New Roman" w:cs="Times New Roman"/>
          <w:b/>
          <w:sz w:val="24"/>
          <w:szCs w:val="24"/>
        </w:rPr>
        <w:t xml:space="preserve">01 11 </w:t>
      </w:r>
      <w:r w:rsidR="00FC7616" w:rsidRPr="00FC7616">
        <w:rPr>
          <w:rFonts w:ascii="Times New Roman" w:eastAsia="Times New Roman" w:hAnsi="Times New Roman" w:cs="Times New Roman"/>
          <w:b/>
          <w:sz w:val="24"/>
          <w:szCs w:val="24"/>
        </w:rPr>
        <w:t>«Резервные фонды»</w:t>
      </w:r>
      <w:r w:rsidR="00FC7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616" w:rsidRPr="00FC7616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FC7616">
        <w:rPr>
          <w:rFonts w:ascii="Times New Roman" w:eastAsia="Times New Roman" w:hAnsi="Times New Roman" w:cs="Times New Roman"/>
          <w:sz w:val="24"/>
          <w:szCs w:val="24"/>
        </w:rPr>
        <w:t xml:space="preserve">100,0 </w:t>
      </w:r>
      <w:r w:rsidR="00FC7616" w:rsidRPr="00FC7616">
        <w:rPr>
          <w:rFonts w:ascii="Times New Roman" w:eastAsia="Times New Roman" w:hAnsi="Times New Roman" w:cs="Times New Roman"/>
          <w:sz w:val="24"/>
          <w:szCs w:val="24"/>
        </w:rPr>
        <w:t>тыс. рублей и предусмотрены на финансирование</w:t>
      </w:r>
      <w:r w:rsidR="00FC7616">
        <w:rPr>
          <w:rFonts w:ascii="Times New Roman" w:eastAsia="Times New Roman" w:hAnsi="Times New Roman" w:cs="Times New Roman"/>
          <w:sz w:val="24"/>
          <w:szCs w:val="24"/>
        </w:rPr>
        <w:t xml:space="preserve"> расходов резервного фонда местной администрации;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D9">
        <w:rPr>
          <w:rFonts w:ascii="Times New Roman" w:eastAsia="Times New Roman" w:hAnsi="Times New Roman" w:cs="Times New Roman"/>
          <w:b/>
          <w:sz w:val="24"/>
          <w:szCs w:val="24"/>
        </w:rPr>
        <w:t>01 13  «Другие общегосударственные</w:t>
      </w:r>
      <w:r w:rsidRPr="00C72ADB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вопросы»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1A2BF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,2 тыс. рублей и предусмотрены на финансирование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правонарушениях.</w:t>
      </w:r>
    </w:p>
    <w:p w:rsidR="006B34B0" w:rsidRDefault="00EC5966" w:rsidP="00EC59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345F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 определены в размере </w:t>
      </w:r>
      <w:r w:rsidR="005345F5">
        <w:rPr>
          <w:rFonts w:ascii="Times New Roman" w:eastAsia="Times New Roman" w:hAnsi="Times New Roman" w:cs="Times New Roman"/>
          <w:sz w:val="24"/>
          <w:szCs w:val="24"/>
        </w:rPr>
        <w:t>28039,3</w:t>
      </w:r>
      <w:r w:rsidR="00E53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E53E00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345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345F5">
        <w:rPr>
          <w:rFonts w:ascii="Times New Roman" w:eastAsia="Times New Roman" w:hAnsi="Times New Roman" w:cs="Times New Roman"/>
          <w:sz w:val="24"/>
          <w:szCs w:val="24"/>
        </w:rPr>
        <w:t>352186,7</w:t>
      </w:r>
      <w:r w:rsidR="00044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5345F5">
        <w:rPr>
          <w:rFonts w:ascii="Times New Roman" w:eastAsia="Times New Roman" w:hAnsi="Times New Roman" w:cs="Times New Roman"/>
          <w:sz w:val="24"/>
          <w:szCs w:val="24"/>
        </w:rPr>
        <w:t>в 13,1 раз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. В общем объеме расходов бюджета расходы раздела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04 «Национальная экономика» составят </w:t>
      </w:r>
      <w:r w:rsidR="005345F5">
        <w:rPr>
          <w:rFonts w:ascii="Times New Roman" w:eastAsia="Times New Roman" w:hAnsi="Times New Roman" w:cs="Times New Roman"/>
          <w:sz w:val="24"/>
          <w:szCs w:val="24"/>
        </w:rPr>
        <w:t>18,9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%. Темп </w:t>
      </w:r>
      <w:r w:rsidR="00044E3F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расходов по данному разделу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345F5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345F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5345F5">
        <w:rPr>
          <w:rFonts w:ascii="Times New Roman" w:eastAsia="Times New Roman" w:hAnsi="Times New Roman" w:cs="Times New Roman"/>
          <w:sz w:val="24"/>
          <w:szCs w:val="24"/>
        </w:rPr>
        <w:t>22,0%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345F5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% соответственно. </w:t>
      </w:r>
    </w:p>
    <w:p w:rsidR="00EC5966" w:rsidRPr="003F1AD2" w:rsidRDefault="006B34B0" w:rsidP="00EC59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по </w:t>
      </w:r>
      <w:r w:rsidRPr="006B34B0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подразделу 04 06 «Водное хозяйство» 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Расходы по </w:t>
      </w:r>
      <w:r w:rsidRPr="00C72ADB">
        <w:rPr>
          <w:rFonts w:ascii="Times New Roman" w:eastAsia="Times New Roman" w:hAnsi="Times New Roman" w:cs="Times New Roman"/>
          <w:b/>
          <w:sz w:val="24"/>
          <w:szCs w:val="24"/>
        </w:rPr>
        <w:t>подразделу 04 08 «Транспорт»</w:t>
      </w:r>
      <w:r w:rsidRPr="007404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</w:t>
      </w:r>
      <w:r w:rsidR="00BD6D41">
        <w:rPr>
          <w:rFonts w:ascii="Times New Roman" w:eastAsia="Times New Roman" w:hAnsi="Times New Roman" w:cs="Times New Roman"/>
          <w:sz w:val="24"/>
          <w:szCs w:val="24"/>
        </w:rPr>
        <w:t>1790,0</w:t>
      </w:r>
      <w:r w:rsidR="00FB4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="00FB477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D6D41">
        <w:rPr>
          <w:rFonts w:ascii="Times New Roman" w:eastAsia="Times New Roman" w:hAnsi="Times New Roman" w:cs="Times New Roman"/>
          <w:sz w:val="24"/>
          <w:szCs w:val="24"/>
        </w:rPr>
        <w:t>1617,3</w:t>
      </w:r>
      <w:r w:rsidR="00FB477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D6D41">
        <w:rPr>
          <w:rFonts w:ascii="Times New Roman" w:eastAsia="Times New Roman" w:hAnsi="Times New Roman" w:cs="Times New Roman"/>
          <w:sz w:val="24"/>
          <w:szCs w:val="24"/>
        </w:rPr>
        <w:t>в 10,4 раза</w:t>
      </w:r>
      <w:r w:rsidR="00FB477A">
        <w:rPr>
          <w:rFonts w:ascii="Times New Roman" w:eastAsia="Times New Roman" w:hAnsi="Times New Roman" w:cs="Times New Roman"/>
          <w:sz w:val="24"/>
          <w:szCs w:val="24"/>
        </w:rPr>
        <w:t xml:space="preserve"> больше чем ожидаемое исполнение 202</w:t>
      </w:r>
      <w:r w:rsidR="00BD6D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477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77A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предусмотрены на субсидирование затрат юридическим лицам и индивидуальным предпринимателям при организации транспортного обслуживания населения.</w:t>
      </w:r>
    </w:p>
    <w:p w:rsidR="00BD6D41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72ADB">
        <w:rPr>
          <w:rFonts w:ascii="Times New Roman" w:eastAsia="Times New Roman" w:hAnsi="Times New Roman" w:cs="Times New Roman"/>
          <w:b/>
          <w:sz w:val="24"/>
          <w:szCs w:val="24"/>
        </w:rPr>
        <w:t>подразделу 04 09 «Дорожное хозяйство»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плановый объем расходов предусмотрен в сумме </w:t>
      </w:r>
      <w:r w:rsidR="00BD6D41">
        <w:rPr>
          <w:rFonts w:ascii="Times New Roman" w:eastAsia="Times New Roman" w:hAnsi="Times New Roman" w:cs="Times New Roman"/>
          <w:sz w:val="24"/>
          <w:szCs w:val="24"/>
        </w:rPr>
        <w:t>26244,2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ниже ожидаемого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6D41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D6D41">
        <w:rPr>
          <w:rFonts w:ascii="Times New Roman" w:eastAsia="Times New Roman" w:hAnsi="Times New Roman" w:cs="Times New Roman"/>
          <w:sz w:val="24"/>
          <w:szCs w:val="24"/>
        </w:rPr>
        <w:t>350764,6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 тыс. рублей, или </w:t>
      </w:r>
      <w:r w:rsidR="00BD6D41">
        <w:rPr>
          <w:rFonts w:ascii="Times New Roman" w:eastAsia="Times New Roman" w:hAnsi="Times New Roman" w:cs="Times New Roman"/>
          <w:sz w:val="24"/>
          <w:szCs w:val="24"/>
        </w:rPr>
        <w:t>в 14,4 раза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. Расходы данного подраздела предусмотрены на обеспечение сохранности автомобильных дорог местного значения и условий безопасности движения по ним</w:t>
      </w:r>
      <w:r w:rsidR="00BD6D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0D3">
        <w:rPr>
          <w:rFonts w:ascii="Times New Roman" w:eastAsia="Times New Roman" w:hAnsi="Times New Roman" w:cs="Times New Roman"/>
          <w:sz w:val="24"/>
          <w:szCs w:val="24"/>
        </w:rPr>
        <w:t xml:space="preserve">Расходы по </w:t>
      </w:r>
      <w:r w:rsidRPr="004D306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подразделу 04 12 «Другие вопросы в области» </w:t>
      </w:r>
      <w:r w:rsidRPr="001800D3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запланированы в сумме 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D3065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800D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E4327E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E4327E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E4327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432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432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F1AD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F1AD2">
        <w:rPr>
          <w:rFonts w:ascii="Times New Roman" w:eastAsia="Times New Roman" w:hAnsi="Times New Roman" w:cs="Times New Roman"/>
          <w:sz w:val="24"/>
          <w:szCs w:val="24"/>
        </w:rPr>
        <w:t>асходы данного подраздела предусмотрены на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поддержку малого и среднего предпринимательства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8059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 определены в размере </w:t>
      </w:r>
      <w:r w:rsidR="00E8059C">
        <w:rPr>
          <w:rFonts w:ascii="Times New Roman" w:eastAsia="Times New Roman" w:hAnsi="Times New Roman" w:cs="Times New Roman"/>
          <w:sz w:val="24"/>
          <w:szCs w:val="24"/>
        </w:rPr>
        <w:t>111783,6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E8059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805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8059C">
        <w:rPr>
          <w:rFonts w:ascii="Times New Roman" w:eastAsia="Times New Roman" w:hAnsi="Times New Roman" w:cs="Times New Roman"/>
          <w:sz w:val="24"/>
          <w:szCs w:val="24"/>
        </w:rPr>
        <w:t>54195,9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E8059C">
        <w:rPr>
          <w:rFonts w:ascii="Times New Roman" w:eastAsia="Times New Roman" w:hAnsi="Times New Roman" w:cs="Times New Roman"/>
          <w:sz w:val="24"/>
          <w:szCs w:val="24"/>
        </w:rPr>
        <w:t>в 1,9 раза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83489C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расходов </w:t>
      </w:r>
      <w:r w:rsidR="00E8059C">
        <w:rPr>
          <w:rFonts w:ascii="Times New Roman" w:eastAsia="Times New Roman" w:hAnsi="Times New Roman" w:cs="Times New Roman"/>
          <w:sz w:val="24"/>
          <w:szCs w:val="24"/>
        </w:rPr>
        <w:t xml:space="preserve">2024 года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расходы раздела 05 «Жилищно-коммунальное хозяйство» составят </w:t>
      </w:r>
      <w:r w:rsidR="00E8059C">
        <w:rPr>
          <w:rFonts w:ascii="Times New Roman" w:eastAsia="Times New Roman" w:hAnsi="Times New Roman" w:cs="Times New Roman"/>
          <w:sz w:val="24"/>
          <w:szCs w:val="24"/>
        </w:rPr>
        <w:t>75,5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05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E8059C">
        <w:rPr>
          <w:rFonts w:ascii="Times New Roman" w:eastAsia="Times New Roman" w:hAnsi="Times New Roman" w:cs="Times New Roman"/>
          <w:sz w:val="24"/>
          <w:szCs w:val="24"/>
        </w:rPr>
        <w:t>наибольший</w:t>
      </w:r>
      <w:proofErr w:type="gramEnd"/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. Темп роста расходов по данному разделу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805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8059C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E8059C">
        <w:rPr>
          <w:rFonts w:ascii="Times New Roman" w:eastAsia="Times New Roman" w:hAnsi="Times New Roman" w:cs="Times New Roman"/>
          <w:sz w:val="24"/>
          <w:szCs w:val="24"/>
        </w:rPr>
        <w:t>(-68,2)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E8059C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700D7">
        <w:rPr>
          <w:rFonts w:ascii="Times New Roman" w:eastAsia="Times New Roman" w:hAnsi="Times New Roman" w:cs="Times New Roman"/>
          <w:b/>
          <w:sz w:val="24"/>
          <w:szCs w:val="24"/>
        </w:rPr>
        <w:t>подразделу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464" w:rsidRPr="00F700D7">
        <w:rPr>
          <w:rFonts w:ascii="Times New Roman" w:eastAsia="Times New Roman" w:hAnsi="Times New Roman" w:cs="Times New Roman"/>
          <w:b/>
          <w:sz w:val="24"/>
          <w:szCs w:val="24"/>
        </w:rPr>
        <w:t xml:space="preserve">05 </w:t>
      </w:r>
      <w:r w:rsidRPr="00F700D7">
        <w:rPr>
          <w:rFonts w:ascii="Times New Roman" w:eastAsia="Times New Roman" w:hAnsi="Times New Roman" w:cs="Times New Roman"/>
          <w:b/>
          <w:sz w:val="24"/>
          <w:szCs w:val="24"/>
        </w:rPr>
        <w:t xml:space="preserve">01 «Жилищное хозяйство»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расходы определены в проекте бюджета в объеме </w:t>
      </w:r>
      <w:r w:rsidR="006748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72211A" w:rsidRPr="003F1AD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 что 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74808">
        <w:rPr>
          <w:rFonts w:ascii="Times New Roman" w:eastAsia="Times New Roman" w:hAnsi="Times New Roman" w:cs="Times New Roman"/>
          <w:sz w:val="24"/>
          <w:szCs w:val="24"/>
        </w:rPr>
        <w:t>55,5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74808">
        <w:rPr>
          <w:rFonts w:ascii="Times New Roman" w:eastAsia="Times New Roman" w:hAnsi="Times New Roman" w:cs="Times New Roman"/>
          <w:sz w:val="24"/>
          <w:szCs w:val="24"/>
        </w:rPr>
        <w:t>25,6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74808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603B7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жидаемо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748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03B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1A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Расходы данного подраздела предусмотрены на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11A" w:rsidRPr="003F1AD2">
        <w:rPr>
          <w:rFonts w:ascii="Times New Roman" w:eastAsia="Times New Roman" w:hAnsi="Times New Roman" w:cs="Times New Roman"/>
          <w:sz w:val="24"/>
          <w:szCs w:val="24"/>
        </w:rPr>
        <w:t>уплат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2211A" w:rsidRPr="003F1AD2">
        <w:rPr>
          <w:rFonts w:ascii="Times New Roman" w:eastAsia="Times New Roman" w:hAnsi="Times New Roman" w:cs="Times New Roman"/>
          <w:sz w:val="24"/>
          <w:szCs w:val="24"/>
        </w:rPr>
        <w:t xml:space="preserve"> взносов на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капитальный ремонт муниципального жилищного фонда</w:t>
      </w:r>
      <w:r w:rsidR="00BC26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F700D7">
        <w:rPr>
          <w:rFonts w:ascii="Times New Roman" w:eastAsia="Times New Roman" w:hAnsi="Times New Roman" w:cs="Times New Roman"/>
          <w:b/>
          <w:sz w:val="24"/>
          <w:szCs w:val="24"/>
        </w:rPr>
        <w:t>подразделу 05 02 «Коммунальное хозяйство»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запланировано </w:t>
      </w:r>
      <w:r w:rsidR="006873EF">
        <w:rPr>
          <w:rFonts w:ascii="Times New Roman" w:eastAsia="Times New Roman" w:hAnsi="Times New Roman" w:cs="Times New Roman"/>
          <w:sz w:val="24"/>
          <w:szCs w:val="24"/>
        </w:rPr>
        <w:t>2000,0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Расходы данного подраздела предусмотрены </w:t>
      </w:r>
      <w:proofErr w:type="gramStart"/>
      <w:r w:rsidRPr="003F1AD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1A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73F0" w:rsidRPr="003F1AD2" w:rsidRDefault="00C373F0" w:rsidP="00C37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по обеспечению населения бытовыми услугами в сумме </w:t>
      </w:r>
      <w:r w:rsidR="00603B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73E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3B7A"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в области коммунального хозяйства в сумме </w:t>
      </w:r>
      <w:r w:rsidR="006873EF">
        <w:rPr>
          <w:rFonts w:ascii="Times New Roman" w:eastAsia="Times New Roman" w:hAnsi="Times New Roman" w:cs="Times New Roman"/>
          <w:sz w:val="24"/>
          <w:szCs w:val="24"/>
        </w:rPr>
        <w:t>6</w:t>
      </w:r>
      <w:r w:rsidR="00CF6E1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603B7A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7E55DD" w:rsidRPr="00520010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 По </w:t>
      </w:r>
      <w:r w:rsidRPr="00F700D7">
        <w:rPr>
          <w:rFonts w:ascii="Times New Roman" w:eastAsia="Times New Roman" w:hAnsi="Times New Roman" w:cs="Times New Roman"/>
          <w:b/>
          <w:sz w:val="24"/>
          <w:szCs w:val="24"/>
        </w:rPr>
        <w:t>подразделу 05 03 «</w:t>
      </w:r>
      <w:r w:rsidRPr="00520010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Благоустройство»</w:t>
      </w:r>
      <w:r w:rsidRPr="00520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C6E" w:rsidRPr="00520010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запланировано </w:t>
      </w:r>
      <w:r w:rsidR="00520010">
        <w:rPr>
          <w:rFonts w:ascii="Times New Roman" w:eastAsia="Times New Roman" w:hAnsi="Times New Roman" w:cs="Times New Roman"/>
          <w:sz w:val="24"/>
          <w:szCs w:val="24"/>
        </w:rPr>
        <w:t>1048,6</w:t>
      </w:r>
      <w:r w:rsidRPr="00520010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E55DD" w:rsidRPr="005200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010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подраздела предусмотрены </w:t>
      </w:r>
      <w:proofErr w:type="gramStart"/>
      <w:r w:rsidRPr="0052001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200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- уличное освещение в сумме </w:t>
      </w:r>
      <w:r w:rsidR="00C373F0" w:rsidRPr="003F1A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010">
        <w:rPr>
          <w:rFonts w:ascii="Times New Roman" w:eastAsia="Times New Roman" w:hAnsi="Times New Roman" w:cs="Times New Roman"/>
          <w:sz w:val="24"/>
          <w:szCs w:val="24"/>
        </w:rPr>
        <w:t>8</w:t>
      </w:r>
      <w:r w:rsidR="00C373F0" w:rsidRPr="003F1AD2"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- озеленение в сумме </w:t>
      </w:r>
      <w:r w:rsidR="005200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73F0" w:rsidRPr="003F1AD2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мест захоронения в сумме </w:t>
      </w:r>
      <w:r w:rsidR="005200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C373F0" w:rsidRPr="003F1AD2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A6593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в сумме </w:t>
      </w:r>
      <w:r w:rsidR="00520010">
        <w:rPr>
          <w:rFonts w:ascii="Times New Roman" w:eastAsia="Times New Roman" w:hAnsi="Times New Roman" w:cs="Times New Roman"/>
          <w:sz w:val="24"/>
          <w:szCs w:val="24"/>
        </w:rPr>
        <w:t>22912,6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A6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08 «Культура и кинематография»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2A6593">
        <w:rPr>
          <w:rFonts w:ascii="Times New Roman" w:eastAsia="Times New Roman" w:hAnsi="Times New Roman" w:cs="Times New Roman"/>
          <w:sz w:val="24"/>
          <w:szCs w:val="24"/>
        </w:rPr>
        <w:t>8100,0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F691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A65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A6593">
        <w:rPr>
          <w:rFonts w:ascii="Times New Roman" w:eastAsia="Times New Roman" w:hAnsi="Times New Roman" w:cs="Times New Roman"/>
          <w:sz w:val="24"/>
          <w:szCs w:val="24"/>
        </w:rPr>
        <w:t>314,2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A6593">
        <w:rPr>
          <w:rFonts w:ascii="Times New Roman" w:eastAsia="Times New Roman" w:hAnsi="Times New Roman" w:cs="Times New Roman"/>
          <w:sz w:val="24"/>
          <w:szCs w:val="24"/>
        </w:rPr>
        <w:t>4,0</w:t>
      </w:r>
      <w:r w:rsidR="00852BC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. В общем объеме расходов бюджета расходы раздела 08 «Культура и кинематография» составят </w:t>
      </w:r>
      <w:r w:rsidR="002A6593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A65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A659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</w:t>
      </w:r>
      <w:r w:rsidR="002F69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852BC1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>Расходы предусмотрены на содержание МБУК «</w:t>
      </w:r>
      <w:proofErr w:type="spellStart"/>
      <w:r w:rsidRPr="003F1AD2">
        <w:rPr>
          <w:rFonts w:ascii="Times New Roman" w:eastAsia="Times New Roman" w:hAnsi="Times New Roman" w:cs="Times New Roman"/>
          <w:sz w:val="24"/>
          <w:szCs w:val="24"/>
        </w:rPr>
        <w:t>Суражская</w:t>
      </w:r>
      <w:proofErr w:type="spellEnd"/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городская детская библиотека» в сумме </w:t>
      </w:r>
      <w:r w:rsidR="002A6593">
        <w:rPr>
          <w:rFonts w:ascii="Times New Roman" w:eastAsia="Times New Roman" w:hAnsi="Times New Roman" w:cs="Times New Roman"/>
          <w:sz w:val="24"/>
          <w:szCs w:val="24"/>
        </w:rPr>
        <w:t>3655,0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МБУК «</w:t>
      </w:r>
      <w:proofErr w:type="spellStart"/>
      <w:r w:rsidRPr="003F1AD2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городской центр культуры» в сумме </w:t>
      </w:r>
      <w:r w:rsidR="002A6593">
        <w:rPr>
          <w:rFonts w:ascii="Times New Roman" w:eastAsia="Times New Roman" w:hAnsi="Times New Roman" w:cs="Times New Roman"/>
          <w:sz w:val="24"/>
          <w:szCs w:val="24"/>
        </w:rPr>
        <w:t>4445,0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10 «Социальная политика»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размере </w:t>
      </w:r>
      <w:r w:rsidR="00380A2D">
        <w:rPr>
          <w:rFonts w:ascii="Times New Roman" w:eastAsia="Times New Roman" w:hAnsi="Times New Roman" w:cs="Times New Roman"/>
          <w:sz w:val="24"/>
          <w:szCs w:val="24"/>
        </w:rPr>
        <w:t>40,0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142AD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 w:rsidR="002142AD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2142A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232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36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14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расходов бюджета расходы раздела 10 «Социальная политика» составят </w:t>
      </w:r>
      <w:r w:rsidR="00F232DD">
        <w:rPr>
          <w:rFonts w:ascii="Times New Roman" w:eastAsia="Times New Roman" w:hAnsi="Times New Roman" w:cs="Times New Roman"/>
          <w:sz w:val="24"/>
          <w:szCs w:val="24"/>
        </w:rPr>
        <w:t xml:space="preserve">менее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0,</w:t>
      </w:r>
      <w:r w:rsidR="00380A2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расходов по данному разделу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232D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232DD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2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годах к предыдущему году составляет 0,0% соответственно. Расходы предусмотрены по подразделу 10 01 «Пенсионное обеспечение» на ежемесячную доплату к пенсии муниципальным служащим. </w:t>
      </w:r>
    </w:p>
    <w:p w:rsidR="00EC5966" w:rsidRPr="003F1AD2" w:rsidRDefault="00EC5966" w:rsidP="00EC5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Источники финансирования дефицита бюджета </w:t>
      </w:r>
    </w:p>
    <w:p w:rsidR="000933AE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</w:t>
      </w:r>
      <w:r w:rsidR="0011415C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 по доходам и расходам</w:t>
      </w:r>
      <w:proofErr w:type="gramStart"/>
      <w:r w:rsidRPr="003F1A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563">
        <w:rPr>
          <w:rFonts w:ascii="Times New Roman" w:eastAsia="Times New Roman" w:hAnsi="Times New Roman" w:cs="Times New Roman"/>
          <w:sz w:val="24"/>
          <w:szCs w:val="24"/>
        </w:rPr>
        <w:t xml:space="preserve">Главным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администратором источников финансирования дефицита бюджета является финансовый отдел администрации Суражского района. В соответствии с пунктом </w:t>
      </w:r>
      <w:r w:rsidR="0075256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71B56" w:rsidRPr="003F1AD2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и приложени</w:t>
      </w:r>
      <w:r w:rsidR="008A3B2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52563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B56" w:rsidRPr="003F1AD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471B56" w:rsidRPr="003F1AD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утверждены источники внутреннего финансирования дефицита бюджета – изменение остатков средств на счетах по учету средств бюджета.</w:t>
      </w:r>
      <w:r w:rsidR="00093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3AE">
        <w:rPr>
          <w:rFonts w:ascii="Times New Roman" w:eastAsia="Times New Roman" w:hAnsi="Times New Roman" w:cs="Times New Roman"/>
          <w:sz w:val="24"/>
          <w:szCs w:val="24"/>
        </w:rPr>
        <w:t>Нормы п. 3 статьи 92.1 БК РФ – соблюдены.</w:t>
      </w:r>
    </w:p>
    <w:p w:rsidR="00EC5966" w:rsidRPr="003F1AD2" w:rsidRDefault="00EC5966" w:rsidP="0074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74046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</w:t>
      </w: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r w:rsidR="009C2D06">
        <w:rPr>
          <w:rFonts w:ascii="Times New Roman" w:eastAsia="Times New Roman" w:hAnsi="Times New Roman" w:cs="Times New Roman"/>
          <w:b/>
          <w:bCs/>
          <w:sz w:val="24"/>
          <w:szCs w:val="24"/>
        </w:rPr>
        <w:t>Суражского городского поселения</w:t>
      </w: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C5966" w:rsidRPr="003F1AD2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3F1AD2">
        <w:rPr>
          <w:rFonts w:ascii="Times New Roman" w:eastAsia="Times New Roman" w:hAnsi="Times New Roman" w:cs="Times New Roman"/>
          <w:sz w:val="24"/>
          <w:szCs w:val="24"/>
        </w:rPr>
        <w:t>Сураж</w:t>
      </w:r>
      <w:r w:rsidR="00565D24">
        <w:rPr>
          <w:rFonts w:ascii="Times New Roman" w:eastAsia="Times New Roman" w:hAnsi="Times New Roman" w:cs="Times New Roman"/>
          <w:sz w:val="24"/>
          <w:szCs w:val="24"/>
        </w:rPr>
        <w:t>ском</w:t>
      </w:r>
      <w:proofErr w:type="spellEnd"/>
      <w:r w:rsidR="00565D24"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программы разработаны в соответствии с Порядком, утвержденным  постановлением администрации Суражского района от 02.11.2016 года №1095 «Об утверждении порядка разработки, реализации и оценки эффективности муниципальных программ». </w:t>
      </w:r>
    </w:p>
    <w:p w:rsidR="00EC5966" w:rsidRPr="003F1AD2" w:rsidRDefault="00EC5966" w:rsidP="00EC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ч. 2 ст.179 Бюджетного кодекса РФ муниципальные программы, предлагаемые к финансированию начиная с очередного финансового года, утверждены постановлением администрации Суражского района </w:t>
      </w:r>
      <w:r w:rsidR="000D02F0"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6E6CEE">
        <w:rPr>
          <w:rFonts w:ascii="Times New Roman" w:eastAsia="Times New Roman" w:hAnsi="Times New Roman" w:cs="Times New Roman"/>
          <w:sz w:val="24"/>
          <w:szCs w:val="24"/>
        </w:rPr>
        <w:t>9</w:t>
      </w:r>
      <w:r w:rsidR="000D02F0">
        <w:rPr>
          <w:rFonts w:ascii="Times New Roman" w:eastAsia="Times New Roman" w:hAnsi="Times New Roman" w:cs="Times New Roman"/>
          <w:sz w:val="24"/>
          <w:szCs w:val="24"/>
        </w:rPr>
        <w:t>.11.20</w:t>
      </w:r>
      <w:r w:rsidR="006E6C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2C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0D02F0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6E6CEE">
        <w:rPr>
          <w:rFonts w:ascii="Times New Roman" w:eastAsia="Times New Roman" w:hAnsi="Times New Roman" w:cs="Times New Roman"/>
          <w:sz w:val="24"/>
          <w:szCs w:val="24"/>
        </w:rPr>
        <w:t xml:space="preserve"> 758</w:t>
      </w:r>
      <w:r w:rsidR="000D02F0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перечня муниципальных программ</w:t>
      </w:r>
      <w:r w:rsidR="00F2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2F0">
        <w:rPr>
          <w:rFonts w:ascii="Times New Roman" w:eastAsia="Times New Roman" w:hAnsi="Times New Roman" w:cs="Times New Roman"/>
          <w:sz w:val="24"/>
          <w:szCs w:val="24"/>
        </w:rPr>
        <w:t xml:space="preserve">(подпрограмм) </w:t>
      </w:r>
      <w:r w:rsidR="009C2D06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="000D02F0">
        <w:rPr>
          <w:rFonts w:ascii="Times New Roman" w:eastAsia="Times New Roman" w:hAnsi="Times New Roman" w:cs="Times New Roman"/>
          <w:sz w:val="24"/>
          <w:szCs w:val="24"/>
        </w:rPr>
        <w:t>, подлежащих разработке и реализации</w:t>
      </w:r>
      <w:r w:rsidR="009D78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6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Default="00EC5966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 статьи 157 Бюджетного Кодекса РФ муниципальные программы направлены в Контрольно-счетную палату для проведения экспертизы до их утверждения. В соответствии со ст. 184.2 Бюджетного кодекса РФ к проекту решения о бюджете представлены паспорта муниципальных программ.</w:t>
      </w:r>
    </w:p>
    <w:p w:rsidR="00231517" w:rsidRPr="003F1AD2" w:rsidRDefault="00231517" w:rsidP="00EC5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бюджете </w:t>
      </w:r>
      <w:r w:rsidR="0011415C">
        <w:rPr>
          <w:rFonts w:ascii="Times New Roman" w:eastAsia="Times New Roman" w:hAnsi="Times New Roman" w:cs="Times New Roman"/>
          <w:sz w:val="24"/>
          <w:szCs w:val="24"/>
        </w:rPr>
        <w:t>на 2024 год и плановый период 2025-2026 годов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ассигнования на реализацию 4-х муниципальных программ.</w:t>
      </w:r>
    </w:p>
    <w:p w:rsidR="00EC5966" w:rsidRDefault="00EC5966" w:rsidP="00EC5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«О бюджете </w:t>
      </w:r>
      <w:r w:rsidR="009C2D06" w:rsidRPr="00E10113">
        <w:rPr>
          <w:rFonts w:ascii="Times New Roman" w:eastAsia="Times New Roman" w:hAnsi="Times New Roman" w:cs="Times New Roman"/>
          <w:sz w:val="24"/>
          <w:szCs w:val="24"/>
        </w:rPr>
        <w:t>Суражского городского поселения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5C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»  расходы на реализацию целевых программ  в </w:t>
      </w:r>
      <w:r w:rsidR="005003A4" w:rsidRPr="00E1011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96DF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 w:rsidR="00696DFD">
        <w:rPr>
          <w:rFonts w:ascii="Times New Roman" w:eastAsia="Times New Roman" w:hAnsi="Times New Roman" w:cs="Times New Roman"/>
          <w:sz w:val="24"/>
          <w:szCs w:val="24"/>
        </w:rPr>
        <w:t>147994,1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99,</w:t>
      </w:r>
      <w:r w:rsidR="007F4187" w:rsidRPr="00E101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</w:t>
      </w:r>
      <w:r w:rsidR="00585B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B7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187" w:rsidRPr="00E10113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первоначального плана 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7F4187" w:rsidRPr="00E1011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003A4" w:rsidRPr="00E1011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96D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736E" w:rsidRPr="00E1011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D2B7D">
        <w:rPr>
          <w:rFonts w:ascii="Times New Roman" w:eastAsia="Times New Roman" w:hAnsi="Times New Roman" w:cs="Times New Roman"/>
          <w:sz w:val="24"/>
          <w:szCs w:val="24"/>
        </w:rPr>
        <w:t>58548,8</w:t>
      </w:r>
      <w:r w:rsidR="00802101" w:rsidRPr="00E10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585B5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D2B7D">
        <w:rPr>
          <w:rFonts w:ascii="Times New Roman" w:eastAsia="Times New Roman" w:hAnsi="Times New Roman" w:cs="Times New Roman"/>
          <w:sz w:val="24"/>
          <w:szCs w:val="24"/>
        </w:rPr>
        <w:t xml:space="preserve">1,7 </w:t>
      </w:r>
      <w:r w:rsidR="00585B51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C5966" w:rsidRPr="003F1AD2" w:rsidRDefault="00EC5966" w:rsidP="00EC59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EC5966" w:rsidRPr="003F1AD2" w:rsidRDefault="00EC5966" w:rsidP="00EC59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1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="00983A1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5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811"/>
        <w:gridCol w:w="1705"/>
        <w:gridCol w:w="1215"/>
        <w:gridCol w:w="1316"/>
        <w:gridCol w:w="1213"/>
      </w:tblGrid>
      <w:tr w:rsidR="00EC5966" w:rsidRPr="00751A18" w:rsidTr="007F4187">
        <w:trPr>
          <w:trHeight w:val="780"/>
        </w:trPr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66" w:rsidRPr="00751A18" w:rsidRDefault="00EC5966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C5966" w:rsidRPr="00751A18" w:rsidRDefault="00EC5966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66" w:rsidRPr="00751A18" w:rsidRDefault="00EC5966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66" w:rsidRPr="00751A18" w:rsidRDefault="006E4374" w:rsidP="009D09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Первоначальный план</w:t>
            </w:r>
            <w:r w:rsidR="00EC5966"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D0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C5966"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66" w:rsidRPr="00751A18" w:rsidRDefault="00EC5966" w:rsidP="009D09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00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D0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66" w:rsidRPr="00751A18" w:rsidRDefault="00EC5966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966" w:rsidRPr="00751A18" w:rsidRDefault="00EC5966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024D4" w:rsidRPr="00751A18" w:rsidTr="002B2003">
        <w:trPr>
          <w:trHeight w:val="56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D4" w:rsidRPr="00751A18" w:rsidRDefault="004024D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D4" w:rsidRPr="00DE05B6" w:rsidRDefault="004024D4" w:rsidP="00AC23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«Реализация полномочий администрации Суражского района на территории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Суражского городского поселения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Суражского района Брянской области 2023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2028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гг.»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81808,9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57118,1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-24690,8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</w:tr>
      <w:tr w:rsidR="004024D4" w:rsidRPr="00751A18" w:rsidTr="002B2003">
        <w:trPr>
          <w:trHeight w:val="545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D4" w:rsidRPr="00751A18" w:rsidRDefault="004024D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D4" w:rsidRPr="00DE05B6" w:rsidRDefault="004024D4" w:rsidP="00C04D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Суражского городского поселения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04D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Суражского района Брянской области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2028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гг.»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7535,3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107,5</w:t>
            </w:r>
          </w:p>
        </w:tc>
      </w:tr>
      <w:tr w:rsidR="004024D4" w:rsidRPr="00751A18" w:rsidTr="002B2003">
        <w:trPr>
          <w:trHeight w:val="633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D4" w:rsidRPr="00751A18" w:rsidRDefault="004024D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D4" w:rsidRPr="00DE05B6" w:rsidRDefault="004024D4" w:rsidP="00EF57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«Развитие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территории </w:t>
            </w:r>
            <w:r w:rsidRPr="00C04D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Суражского района Брянской области 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F57B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-202</w:t>
            </w:r>
            <w:r w:rsidR="00EF57B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гг.»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024D4" w:rsidRPr="00751A18" w:rsidTr="002B2003">
        <w:trPr>
          <w:trHeight w:val="548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4D4" w:rsidRPr="00751A18" w:rsidRDefault="004024D4" w:rsidP="00EC59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4D4" w:rsidRPr="00DE05B6" w:rsidRDefault="004024D4" w:rsidP="005503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«Формирование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Суражского городского поселения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03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Суражского района Брянской области 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2018-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  <w:r w:rsidRPr="00DE05B6">
              <w:rPr>
                <w:rFonts w:ascii="Times New Roman" w:eastAsia="Times New Roman" w:hAnsi="Times New Roman" w:cs="Times New Roman"/>
                <w:sz w:val="16"/>
                <w:szCs w:val="16"/>
              </w:rPr>
              <w:t>гг.»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82674,9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86130,1</w:t>
            </w:r>
          </w:p>
        </w:tc>
      </w:tr>
      <w:tr w:rsidR="004024D4" w:rsidRPr="00751A18" w:rsidTr="002B2003">
        <w:trPr>
          <w:trHeight w:val="300"/>
        </w:trPr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D4" w:rsidRPr="00751A18" w:rsidRDefault="004024D4" w:rsidP="00EC59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D4" w:rsidRPr="00751A18" w:rsidRDefault="004024D4" w:rsidP="00EC59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89445,3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147994,1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58548,8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4D4" w:rsidRPr="004024D4" w:rsidRDefault="00402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024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165,5</w:t>
            </w:r>
          </w:p>
        </w:tc>
      </w:tr>
    </w:tbl>
    <w:p w:rsidR="00543554" w:rsidRDefault="00555011" w:rsidP="00A514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FF3">
        <w:rPr>
          <w:rFonts w:ascii="Times New Roman" w:eastAsia="Times New Roman" w:hAnsi="Times New Roman" w:cs="Times New Roman"/>
          <w:sz w:val="24"/>
          <w:szCs w:val="24"/>
        </w:rPr>
        <w:t>Непрограмм</w:t>
      </w:r>
      <w:r w:rsidR="00983A18" w:rsidRPr="001D1FF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D1FF3">
        <w:rPr>
          <w:rFonts w:ascii="Times New Roman" w:eastAsia="Times New Roman" w:hAnsi="Times New Roman" w:cs="Times New Roman"/>
          <w:sz w:val="24"/>
          <w:szCs w:val="24"/>
        </w:rPr>
        <w:t xml:space="preserve">ые расходы бюджета на </w:t>
      </w:r>
      <w:r w:rsidR="005003A4" w:rsidRPr="001D1FF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D1FF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D1F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003A4" w:rsidRPr="001D1FF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D1FF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D1FF3">
        <w:rPr>
          <w:rFonts w:ascii="Times New Roman" w:eastAsia="Times New Roman" w:hAnsi="Times New Roman" w:cs="Times New Roman"/>
          <w:sz w:val="24"/>
          <w:szCs w:val="24"/>
        </w:rPr>
        <w:t xml:space="preserve"> годы предусмотрены в сумме 100,5 тыс. рублей, </w:t>
      </w:r>
      <w:r w:rsidR="001D1FF3">
        <w:rPr>
          <w:rFonts w:ascii="Times New Roman" w:eastAsia="Times New Roman" w:hAnsi="Times New Roman" w:cs="Times New Roman"/>
          <w:sz w:val="24"/>
          <w:szCs w:val="24"/>
        </w:rPr>
        <w:t>1792,2</w:t>
      </w:r>
      <w:r w:rsidRPr="001D1FF3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 </w:t>
      </w:r>
      <w:r w:rsidR="001D1FF3">
        <w:rPr>
          <w:rFonts w:ascii="Times New Roman" w:eastAsia="Times New Roman" w:hAnsi="Times New Roman" w:cs="Times New Roman"/>
          <w:sz w:val="24"/>
          <w:szCs w:val="24"/>
        </w:rPr>
        <w:t>3579,0</w:t>
      </w:r>
      <w:r w:rsidRPr="00555011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соответственно (резервный фонд и условно утверждаемые рас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55011">
        <w:rPr>
          <w:rFonts w:ascii="Times New Roman" w:eastAsia="Times New Roman" w:hAnsi="Times New Roman" w:cs="Times New Roman"/>
          <w:sz w:val="24"/>
          <w:szCs w:val="24"/>
        </w:rPr>
        <w:t>оды).</w:t>
      </w:r>
      <w:r w:rsidR="007B0327">
        <w:rPr>
          <w:rFonts w:ascii="Times New Roman" w:eastAsia="Times New Roman" w:hAnsi="Times New Roman" w:cs="Times New Roman"/>
          <w:sz w:val="24"/>
          <w:szCs w:val="24"/>
        </w:rPr>
        <w:t xml:space="preserve"> Непрограммные расходы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D1F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0327">
        <w:rPr>
          <w:rFonts w:ascii="Times New Roman" w:eastAsia="Times New Roman" w:hAnsi="Times New Roman" w:cs="Times New Roman"/>
          <w:sz w:val="24"/>
          <w:szCs w:val="24"/>
        </w:rPr>
        <w:t xml:space="preserve"> году занимают 0,</w:t>
      </w:r>
      <w:r w:rsidR="001D1FF3">
        <w:rPr>
          <w:rFonts w:ascii="Times New Roman" w:eastAsia="Times New Roman" w:hAnsi="Times New Roman" w:cs="Times New Roman"/>
          <w:sz w:val="24"/>
          <w:szCs w:val="24"/>
        </w:rPr>
        <w:t>07</w:t>
      </w:r>
      <w:r w:rsidR="007B0327">
        <w:rPr>
          <w:rFonts w:ascii="Times New Roman" w:eastAsia="Times New Roman" w:hAnsi="Times New Roman" w:cs="Times New Roman"/>
          <w:sz w:val="24"/>
          <w:szCs w:val="24"/>
        </w:rPr>
        <w:t>% от общих расходов бюджета</w:t>
      </w:r>
      <w:r w:rsidR="005435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966" w:rsidRDefault="00543554" w:rsidP="00543554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C5966" w:rsidRPr="003F1AD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EC5966" w:rsidRPr="0052236E" w:rsidRDefault="00EC5966" w:rsidP="005A7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36E">
        <w:rPr>
          <w:rFonts w:ascii="Times New Roman" w:hAnsi="Times New Roman" w:cs="Times New Roman"/>
          <w:sz w:val="24"/>
          <w:szCs w:val="24"/>
        </w:rPr>
        <w:t xml:space="preserve">Проект решения администрацией Суражского района внесен в Контрольно-счётную </w:t>
      </w:r>
      <w:r w:rsidR="002A1C50">
        <w:rPr>
          <w:rFonts w:ascii="Times New Roman" w:hAnsi="Times New Roman" w:cs="Times New Roman"/>
          <w:sz w:val="24"/>
          <w:szCs w:val="24"/>
        </w:rPr>
        <w:t>па</w:t>
      </w:r>
      <w:r w:rsidRPr="0052236E">
        <w:rPr>
          <w:rFonts w:ascii="Times New Roman" w:hAnsi="Times New Roman" w:cs="Times New Roman"/>
          <w:sz w:val="24"/>
          <w:szCs w:val="24"/>
        </w:rPr>
        <w:t>лату Суражского муниципального района 1</w:t>
      </w:r>
      <w:r w:rsidR="009E7C91">
        <w:rPr>
          <w:rFonts w:ascii="Times New Roman" w:hAnsi="Times New Roman" w:cs="Times New Roman"/>
          <w:sz w:val="24"/>
          <w:szCs w:val="24"/>
        </w:rPr>
        <w:t>4</w:t>
      </w:r>
      <w:r w:rsidRPr="0052236E">
        <w:rPr>
          <w:rFonts w:ascii="Times New Roman" w:hAnsi="Times New Roman" w:cs="Times New Roman"/>
          <w:sz w:val="24"/>
          <w:szCs w:val="24"/>
        </w:rPr>
        <w:t>.11.</w:t>
      </w:r>
      <w:r w:rsidR="005003A4">
        <w:rPr>
          <w:rFonts w:ascii="Times New Roman" w:hAnsi="Times New Roman" w:cs="Times New Roman"/>
          <w:sz w:val="24"/>
          <w:szCs w:val="24"/>
        </w:rPr>
        <w:t>202</w:t>
      </w:r>
      <w:r w:rsidR="00C233D0">
        <w:rPr>
          <w:rFonts w:ascii="Times New Roman" w:hAnsi="Times New Roman" w:cs="Times New Roman"/>
          <w:sz w:val="24"/>
          <w:szCs w:val="24"/>
        </w:rPr>
        <w:t>3</w:t>
      </w:r>
      <w:r w:rsidRPr="0052236E">
        <w:rPr>
          <w:rFonts w:ascii="Times New Roman" w:hAnsi="Times New Roman" w:cs="Times New Roman"/>
          <w:sz w:val="24"/>
          <w:szCs w:val="24"/>
        </w:rPr>
        <w:t>г.,</w:t>
      </w:r>
      <w:r w:rsidRPr="005223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236E">
        <w:rPr>
          <w:rFonts w:ascii="Times New Roman" w:hAnsi="Times New Roman" w:cs="Times New Roman"/>
          <w:sz w:val="24"/>
          <w:szCs w:val="24"/>
        </w:rPr>
        <w:t xml:space="preserve">что соответствует п. 1 ст. 185 </w:t>
      </w:r>
      <w:r w:rsidRPr="0052236E">
        <w:rPr>
          <w:rFonts w:ascii="Times New Roman" w:hAnsi="Times New Roman" w:cs="Times New Roman"/>
          <w:sz w:val="24"/>
          <w:szCs w:val="24"/>
        </w:rPr>
        <w:lastRenderedPageBreak/>
        <w:t xml:space="preserve">Бюджетного кодекса, п. 1 статьи 4 решения Совета народных депутатов  города Суража от 23.10.2015 года №73 «О порядке составления, рассмотрения и утверждения бюджета </w:t>
      </w:r>
      <w:r w:rsidR="009C2D06"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  <w:r w:rsidRPr="0052236E">
        <w:rPr>
          <w:rFonts w:ascii="Times New Roman" w:hAnsi="Times New Roman" w:cs="Times New Roman"/>
          <w:sz w:val="24"/>
          <w:szCs w:val="24"/>
        </w:rPr>
        <w:t>» (с учетом внесенных изменений</w:t>
      </w:r>
      <w:r w:rsidR="00D73026" w:rsidRPr="0052236E">
        <w:rPr>
          <w:rFonts w:ascii="Times New Roman" w:hAnsi="Times New Roman" w:cs="Times New Roman"/>
          <w:sz w:val="24"/>
          <w:szCs w:val="24"/>
        </w:rPr>
        <w:t>)</w:t>
      </w:r>
      <w:r w:rsidRPr="0052236E">
        <w:rPr>
          <w:rFonts w:ascii="Times New Roman" w:hAnsi="Times New Roman" w:cs="Times New Roman"/>
          <w:sz w:val="24"/>
          <w:szCs w:val="24"/>
        </w:rPr>
        <w:t>.</w:t>
      </w:r>
    </w:p>
    <w:p w:rsidR="00BA15BB" w:rsidRDefault="0052236E" w:rsidP="005A7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15BB" w:rsidRPr="0052236E">
        <w:rPr>
          <w:rFonts w:ascii="Times New Roman" w:hAnsi="Times New Roman" w:cs="Times New Roman"/>
          <w:sz w:val="24"/>
          <w:szCs w:val="24"/>
        </w:rPr>
        <w:t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(далее – Закон №131-ФЗ) проект бюджета официально опубликован.</w:t>
      </w:r>
    </w:p>
    <w:p w:rsidR="0052236E" w:rsidRPr="0052236E" w:rsidRDefault="0052236E" w:rsidP="005A71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36E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пп.2 пункта 3 статьи 28 Закона №131-ФЗ проект бюджета  вынесен на публичные слушания.</w:t>
      </w:r>
    </w:p>
    <w:p w:rsidR="00BA15BB" w:rsidRPr="0052236E" w:rsidRDefault="0052236E" w:rsidP="005A7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15BB" w:rsidRPr="0052236E">
        <w:rPr>
          <w:rFonts w:ascii="Times New Roman" w:hAnsi="Times New Roman" w:cs="Times New Roman"/>
          <w:sz w:val="24"/>
          <w:szCs w:val="24"/>
        </w:rPr>
        <w:t xml:space="preserve">Проект решения о бюджете </w:t>
      </w:r>
      <w:r w:rsidR="006E5E6C" w:rsidRPr="0052236E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F0225F">
        <w:rPr>
          <w:rFonts w:ascii="Times New Roman" w:hAnsi="Times New Roman" w:cs="Times New Roman"/>
          <w:sz w:val="24"/>
          <w:szCs w:val="24"/>
        </w:rPr>
        <w:t>удовлетворяет</w:t>
      </w:r>
      <w:r w:rsidR="00BA15BB" w:rsidRPr="0052236E">
        <w:rPr>
          <w:rFonts w:ascii="Times New Roman" w:hAnsi="Times New Roman" w:cs="Times New Roman"/>
          <w:sz w:val="24"/>
          <w:szCs w:val="24"/>
        </w:rPr>
        <w:t xml:space="preserve"> требованиям статьи 184.2 Бюджетного кодекса Российской Федерации в части документов, представленных одновременно с проектом бюджета.</w:t>
      </w:r>
    </w:p>
    <w:p w:rsidR="006E5E6C" w:rsidRPr="0052236E" w:rsidRDefault="0052236E" w:rsidP="005A7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5966" w:rsidRPr="0052236E">
        <w:rPr>
          <w:rFonts w:ascii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r w:rsidR="009C2D06"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  <w:r w:rsidR="00EC5966" w:rsidRPr="0052236E">
        <w:rPr>
          <w:rFonts w:ascii="Times New Roman" w:hAnsi="Times New Roman" w:cs="Times New Roman"/>
          <w:sz w:val="24"/>
          <w:szCs w:val="24"/>
        </w:rPr>
        <w:t xml:space="preserve"> на </w:t>
      </w:r>
      <w:r w:rsidR="005003A4">
        <w:rPr>
          <w:rFonts w:ascii="Times New Roman" w:hAnsi="Times New Roman" w:cs="Times New Roman"/>
          <w:sz w:val="24"/>
          <w:szCs w:val="24"/>
        </w:rPr>
        <w:t>2023</w:t>
      </w:r>
      <w:r w:rsidR="00EC5966" w:rsidRPr="0052236E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844568">
        <w:rPr>
          <w:rFonts w:ascii="Times New Roman" w:hAnsi="Times New Roman" w:cs="Times New Roman"/>
          <w:sz w:val="24"/>
          <w:szCs w:val="24"/>
        </w:rPr>
        <w:t>на период до 2026 года</w:t>
      </w:r>
      <w:r w:rsidR="006E5E6C" w:rsidRPr="0052236E">
        <w:rPr>
          <w:rFonts w:ascii="Times New Roman" w:hAnsi="Times New Roman" w:cs="Times New Roman"/>
          <w:sz w:val="24"/>
          <w:szCs w:val="24"/>
        </w:rPr>
        <w:t>.</w:t>
      </w:r>
    </w:p>
    <w:p w:rsidR="00EC5966" w:rsidRPr="0052236E" w:rsidRDefault="0052236E" w:rsidP="00C3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5966" w:rsidRPr="0052236E">
        <w:rPr>
          <w:rFonts w:ascii="Times New Roman" w:hAnsi="Times New Roman" w:cs="Times New Roman"/>
          <w:sz w:val="24"/>
          <w:szCs w:val="24"/>
        </w:rPr>
        <w:t xml:space="preserve">Исполнена статья 184.1 БК РФ в части состава </w:t>
      </w:r>
      <w:r w:rsidR="006E5E6C" w:rsidRPr="0052236E">
        <w:rPr>
          <w:rFonts w:ascii="Times New Roman" w:hAnsi="Times New Roman" w:cs="Times New Roman"/>
          <w:sz w:val="24"/>
          <w:szCs w:val="24"/>
        </w:rPr>
        <w:t>основных характеристик бюджета</w:t>
      </w:r>
      <w:r w:rsidR="00EC5966" w:rsidRPr="0052236E">
        <w:rPr>
          <w:rFonts w:ascii="Times New Roman" w:hAnsi="Times New Roman" w:cs="Times New Roman"/>
          <w:sz w:val="24"/>
          <w:szCs w:val="24"/>
        </w:rPr>
        <w:t xml:space="preserve">, утверждаемых в проекте </w:t>
      </w:r>
      <w:r w:rsidR="006E5E6C" w:rsidRPr="0052236E">
        <w:rPr>
          <w:rFonts w:ascii="Times New Roman" w:hAnsi="Times New Roman" w:cs="Times New Roman"/>
          <w:sz w:val="24"/>
          <w:szCs w:val="24"/>
        </w:rPr>
        <w:t xml:space="preserve">решения «О </w:t>
      </w:r>
      <w:r w:rsidR="00EC5966" w:rsidRPr="0052236E">
        <w:rPr>
          <w:rFonts w:ascii="Times New Roman" w:hAnsi="Times New Roman" w:cs="Times New Roman"/>
          <w:sz w:val="24"/>
          <w:szCs w:val="24"/>
        </w:rPr>
        <w:t>бюджет</w:t>
      </w:r>
      <w:r w:rsidR="006E5E6C" w:rsidRPr="0052236E">
        <w:rPr>
          <w:rFonts w:ascii="Times New Roman" w:hAnsi="Times New Roman" w:cs="Times New Roman"/>
          <w:sz w:val="24"/>
          <w:szCs w:val="24"/>
        </w:rPr>
        <w:t>е</w:t>
      </w:r>
      <w:r w:rsidR="00EC5966" w:rsidRPr="0052236E">
        <w:rPr>
          <w:rFonts w:ascii="Times New Roman" w:hAnsi="Times New Roman" w:cs="Times New Roman"/>
          <w:sz w:val="24"/>
          <w:szCs w:val="24"/>
        </w:rPr>
        <w:t xml:space="preserve"> </w:t>
      </w:r>
      <w:r w:rsidR="009C2D06">
        <w:rPr>
          <w:rFonts w:ascii="Times New Roman" w:hAnsi="Times New Roman" w:cs="Times New Roman"/>
          <w:sz w:val="24"/>
          <w:szCs w:val="24"/>
        </w:rPr>
        <w:t>Суражского городского поселения</w:t>
      </w:r>
      <w:r w:rsidR="006E5E6C" w:rsidRPr="0052236E">
        <w:rPr>
          <w:rFonts w:ascii="Times New Roman" w:hAnsi="Times New Roman" w:cs="Times New Roman"/>
          <w:sz w:val="24"/>
          <w:szCs w:val="24"/>
        </w:rPr>
        <w:t xml:space="preserve"> </w:t>
      </w:r>
      <w:r w:rsidR="0011415C">
        <w:rPr>
          <w:rFonts w:ascii="Times New Roman" w:hAnsi="Times New Roman" w:cs="Times New Roman"/>
          <w:sz w:val="24"/>
          <w:szCs w:val="24"/>
        </w:rPr>
        <w:t>на 2024 год и плановый период 2025-2026 годов</w:t>
      </w:r>
      <w:r w:rsidR="006E5E6C" w:rsidRPr="0052236E">
        <w:rPr>
          <w:rFonts w:ascii="Times New Roman" w:hAnsi="Times New Roman" w:cs="Times New Roman"/>
          <w:sz w:val="24"/>
          <w:szCs w:val="24"/>
        </w:rPr>
        <w:t>»</w:t>
      </w:r>
      <w:r w:rsidR="00C17977" w:rsidRPr="0052236E">
        <w:rPr>
          <w:rFonts w:ascii="Times New Roman" w:hAnsi="Times New Roman" w:cs="Times New Roman"/>
          <w:sz w:val="24"/>
          <w:szCs w:val="24"/>
        </w:rPr>
        <w:t>.</w:t>
      </w:r>
    </w:p>
    <w:p w:rsidR="00C17977" w:rsidRPr="0052236E" w:rsidRDefault="00C17977" w:rsidP="00C373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36E">
        <w:rPr>
          <w:rFonts w:ascii="Times New Roman" w:hAnsi="Times New Roman" w:cs="Times New Roman"/>
          <w:bCs/>
          <w:sz w:val="24"/>
          <w:szCs w:val="24"/>
        </w:rPr>
        <w:t>Соблюдена  ст. 179.4  п. 5 Бюджетного кодекса РФ в части утверждения объема бюджетных ассигнований муниципального дорожного фонда.</w:t>
      </w:r>
    </w:p>
    <w:p w:rsidR="00E45215" w:rsidRPr="00C116DA" w:rsidRDefault="00C159FE" w:rsidP="00C373C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FE7">
        <w:rPr>
          <w:rFonts w:ascii="Times New Roman" w:eastAsia="Times New Roman" w:hAnsi="Times New Roman" w:cs="Times New Roman"/>
          <w:sz w:val="24"/>
          <w:szCs w:val="24"/>
        </w:rPr>
        <w:t xml:space="preserve">Объем доходов, определенный в проекте решения на </w:t>
      </w:r>
      <w:r w:rsidR="005003A4" w:rsidRPr="00E80FE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0FE7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148094,6</w:t>
      </w:r>
      <w:r w:rsidRPr="00E80FE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, что ниже ожидаемого исполнения за 2023 год на 318464,4 тыс. рублей, или на 68,3%</w:t>
      </w:r>
      <w:r w:rsidRPr="00E80F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5215" w:rsidRPr="008E5DE3"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="00E45215" w:rsidRPr="008E5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E45215" w:rsidRPr="008E5DE3">
        <w:rPr>
          <w:rFonts w:ascii="Times New Roman" w:eastAsia="Times New Roman" w:hAnsi="Times New Roman" w:cs="Times New Roman"/>
          <w:sz w:val="24"/>
          <w:szCs w:val="24"/>
        </w:rPr>
        <w:t xml:space="preserve"> года и планового периода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E45215" w:rsidRPr="008E5DE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E45215" w:rsidRPr="008E5DE3">
        <w:rPr>
          <w:rFonts w:ascii="Times New Roman" w:eastAsia="Times New Roman" w:hAnsi="Times New Roman" w:cs="Times New Roman"/>
          <w:sz w:val="24"/>
          <w:szCs w:val="24"/>
        </w:rPr>
        <w:t xml:space="preserve"> годов существенно 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E45215" w:rsidRPr="008E5DE3">
        <w:rPr>
          <w:rFonts w:ascii="Times New Roman" w:eastAsia="Times New Roman" w:hAnsi="Times New Roman" w:cs="Times New Roman"/>
          <w:sz w:val="24"/>
          <w:szCs w:val="24"/>
        </w:rPr>
        <w:t xml:space="preserve">отличается от структуры бюджета отчетного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2023 года</w:t>
      </w:r>
      <w:r w:rsidR="00E45215" w:rsidRPr="008E5D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45215" w:rsidRPr="00C116DA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E45215"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объем в структуре доходов занимают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</w:t>
      </w:r>
      <w:r w:rsidR="00E45215" w:rsidRPr="00C116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55,9</w:t>
      </w:r>
      <w:r w:rsidR="00E45215" w:rsidRPr="00C116DA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 xml:space="preserve">снизившись при этом </w:t>
      </w:r>
      <w:r w:rsidR="00E45215" w:rsidRPr="00C116DA">
        <w:rPr>
          <w:rFonts w:ascii="Times New Roman" w:eastAsia="Times New Roman" w:hAnsi="Times New Roman" w:cs="Times New Roman"/>
          <w:sz w:val="24"/>
          <w:szCs w:val="24"/>
        </w:rPr>
        <w:t xml:space="preserve">к ожидаемому уровню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="00E45215" w:rsidRPr="00C116D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45215"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25,9</w:t>
      </w:r>
      <w:r w:rsidR="00E45215" w:rsidRPr="00C116D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 xml:space="preserve">В 2024 году налоговые доходы увеличатся на 25,8 процентных пункта и их удельный вес составит 38,1%. </w:t>
      </w:r>
      <w:r w:rsidR="00E45215" w:rsidRPr="00C116DA">
        <w:rPr>
          <w:rFonts w:ascii="Times New Roman" w:eastAsia="Times New Roman" w:hAnsi="Times New Roman" w:cs="Times New Roman"/>
          <w:sz w:val="24"/>
          <w:szCs w:val="24"/>
        </w:rPr>
        <w:t xml:space="preserve">Доля неналоговых доходов бюджета в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E45215"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составит 0,6</w:t>
      </w:r>
      <w:r w:rsidR="00E45215" w:rsidRPr="00C116DA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незначительно увеличившись</w:t>
      </w:r>
      <w:r w:rsidR="00E45215" w:rsidRPr="00C116DA">
        <w:rPr>
          <w:rFonts w:ascii="Times New Roman" w:eastAsia="Times New Roman" w:hAnsi="Times New Roman" w:cs="Times New Roman"/>
          <w:sz w:val="24"/>
          <w:szCs w:val="24"/>
        </w:rPr>
        <w:t xml:space="preserve"> к ожидаемому уровню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E45215" w:rsidRPr="00C116D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5215" w:rsidRPr="00C116D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45215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E45215" w:rsidRPr="00C116DA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proofErr w:type="gramEnd"/>
    </w:p>
    <w:p w:rsidR="0071295E" w:rsidRPr="008E4744" w:rsidRDefault="00C17977" w:rsidP="00C373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71295E" w:rsidRPr="008E4744">
        <w:rPr>
          <w:rFonts w:ascii="Times New Roman" w:eastAsia="Times New Roman" w:hAnsi="Times New Roman" w:cs="Times New Roman"/>
          <w:sz w:val="24"/>
          <w:szCs w:val="24"/>
        </w:rPr>
        <w:t>Прогнозирование собственных доходов отвечает нормам, установленными статьей 174.1 Бюджетного кодекса Российской Федерации, в условиях действующего на день внесения проекта решения о бюджете в законодательный (представительный) орган, законодательства о налогах и сборах и бюджетного законодательства.</w:t>
      </w:r>
      <w:proofErr w:type="gramEnd"/>
    </w:p>
    <w:p w:rsidR="0071295E" w:rsidRDefault="0071295E" w:rsidP="00C373C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744">
        <w:rPr>
          <w:rFonts w:ascii="Times New Roman" w:eastAsia="Times New Roman" w:hAnsi="Times New Roman" w:cs="Times New Roman"/>
          <w:sz w:val="24"/>
          <w:szCs w:val="24"/>
        </w:rPr>
        <w:t xml:space="preserve">При расчетах соблюдены положения нормативно-правовых актов Российской Федерации и Брянской области, предусматривающие изменения в законодательство о налогах и сборах, вступающие в действие с 1 января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233D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4744">
        <w:rPr>
          <w:rFonts w:ascii="Times New Roman" w:eastAsia="Times New Roman" w:hAnsi="Times New Roman" w:cs="Times New Roman"/>
          <w:sz w:val="24"/>
          <w:szCs w:val="24"/>
        </w:rPr>
        <w:t xml:space="preserve"> года и последующие годы.</w:t>
      </w:r>
    </w:p>
    <w:p w:rsidR="00AA08B3" w:rsidRPr="001C716B" w:rsidRDefault="00AA08B3" w:rsidP="00C37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16B">
        <w:rPr>
          <w:rFonts w:ascii="Times New Roman" w:eastAsia="Times New Roman" w:hAnsi="Times New Roman" w:cs="Times New Roman"/>
          <w:sz w:val="24"/>
          <w:szCs w:val="24"/>
        </w:rPr>
        <w:t>Объем расходов, определенный в проекте решения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716B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148094,6</w:t>
      </w:r>
      <w:r w:rsidRPr="001C716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отношению к объему расходов, ожидаемому в</w:t>
      </w:r>
      <w:r w:rsidRPr="001C71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1C71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году расходы, определенные</w:t>
      </w:r>
      <w:r w:rsidRPr="001C716B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ниже на </w:t>
      </w:r>
      <w:r>
        <w:rPr>
          <w:rFonts w:ascii="Times New Roman" w:eastAsia="Times New Roman" w:hAnsi="Times New Roman" w:cs="Times New Roman"/>
          <w:sz w:val="24"/>
          <w:szCs w:val="24"/>
        </w:rPr>
        <w:t>298771,4</w:t>
      </w:r>
      <w:r w:rsidRPr="001C716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4"/>
          <w:szCs w:val="24"/>
        </w:rPr>
        <w:t>66,9</w:t>
      </w:r>
      <w:r w:rsidRPr="001C716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373C9" w:rsidRDefault="00C373C9" w:rsidP="00C373C9">
      <w:pPr>
        <w:pStyle w:val="21"/>
        <w:spacing w:after="0" w:line="276" w:lineRule="auto"/>
        <w:ind w:left="0"/>
        <w:contextualSpacing/>
        <w:jc w:val="both"/>
      </w:pPr>
      <w:r w:rsidRPr="003F1AD2">
        <w:t>Приоритетным</w:t>
      </w:r>
      <w:r>
        <w:t>и</w:t>
      </w:r>
      <w:r w:rsidRPr="003F1AD2">
        <w:t xml:space="preserve"> направлени</w:t>
      </w:r>
      <w:r>
        <w:t>ями</w:t>
      </w:r>
      <w:r w:rsidRPr="003F1AD2">
        <w:t xml:space="preserve"> расходов бюджета </w:t>
      </w:r>
      <w:r>
        <w:t>Суражского городского поселения</w:t>
      </w:r>
      <w:r w:rsidRPr="003F1AD2">
        <w:t xml:space="preserve"> </w:t>
      </w:r>
      <w:r>
        <w:t>на 2024 год и на плановый период 2025 и 2026 годов</w:t>
      </w:r>
      <w:r w:rsidRPr="003F1AD2">
        <w:t xml:space="preserve"> явля</w:t>
      </w:r>
      <w:r>
        <w:t>ются</w:t>
      </w:r>
      <w:r w:rsidRPr="003F1AD2">
        <w:t xml:space="preserve"> </w:t>
      </w:r>
      <w:r>
        <w:t xml:space="preserve">национальная экономика и </w:t>
      </w:r>
      <w:r w:rsidRPr="003F1AD2">
        <w:t>жилищно-коммунальное хозяйство</w:t>
      </w:r>
      <w:r>
        <w:t xml:space="preserve">. </w:t>
      </w:r>
    </w:p>
    <w:p w:rsidR="00C373C9" w:rsidRDefault="00C373C9" w:rsidP="00C373C9">
      <w:pPr>
        <w:pStyle w:val="21"/>
        <w:spacing w:after="0" w:line="276" w:lineRule="auto"/>
        <w:ind w:left="0"/>
        <w:contextualSpacing/>
        <w:jc w:val="both"/>
      </w:pPr>
      <w:r w:rsidRPr="00FE0126">
        <w:t xml:space="preserve">Наибольший удельный вес в общем объеме расходов бюджета на </w:t>
      </w:r>
      <w:r>
        <w:t>2023</w:t>
      </w:r>
      <w:r w:rsidRPr="00FE0126">
        <w:t>-</w:t>
      </w:r>
      <w:r>
        <w:t>2025</w:t>
      </w:r>
      <w:r w:rsidRPr="00FE0126">
        <w:t xml:space="preserve"> годы занимают разделы:</w:t>
      </w:r>
    </w:p>
    <w:p w:rsidR="00C373C9" w:rsidRPr="00FE0126" w:rsidRDefault="00C373C9" w:rsidP="00C373C9">
      <w:pPr>
        <w:pStyle w:val="21"/>
        <w:spacing w:after="0" w:line="276" w:lineRule="auto"/>
        <w:ind w:left="0"/>
        <w:contextualSpacing/>
        <w:jc w:val="both"/>
      </w:pPr>
      <w:r>
        <w:t xml:space="preserve">           </w:t>
      </w:r>
      <w:r w:rsidRPr="00D11F42">
        <w:t xml:space="preserve">- «Жилищно-коммунальное хозяйство» – </w:t>
      </w:r>
      <w:r>
        <w:t>75,5</w:t>
      </w:r>
      <w:r w:rsidRPr="00D11F42">
        <w:t xml:space="preserve"> %, </w:t>
      </w:r>
      <w:r>
        <w:t>44,6</w:t>
      </w:r>
      <w:r w:rsidRPr="00D11F42">
        <w:t xml:space="preserve">%,  </w:t>
      </w:r>
      <w:r>
        <w:t>43,8</w:t>
      </w:r>
      <w:r w:rsidRPr="00D11F42">
        <w:t xml:space="preserve"> % соответственно;</w:t>
      </w:r>
    </w:p>
    <w:p w:rsidR="00C373C9" w:rsidRPr="00FE0126" w:rsidRDefault="00C373C9" w:rsidP="00C373C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126">
        <w:rPr>
          <w:rFonts w:ascii="Times New Roman" w:eastAsia="Times New Roman" w:hAnsi="Times New Roman" w:cs="Times New Roman"/>
          <w:sz w:val="24"/>
          <w:szCs w:val="24"/>
        </w:rPr>
        <w:tab/>
        <w:t xml:space="preserve">- «Национальная экономика»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18,9</w:t>
      </w:r>
      <w:r w:rsidRPr="00FE0126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42,9</w:t>
      </w:r>
      <w:r w:rsidRPr="00FE0126">
        <w:rPr>
          <w:rFonts w:ascii="Times New Roman" w:eastAsia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eastAsia="Times New Roman" w:hAnsi="Times New Roman" w:cs="Times New Roman"/>
          <w:sz w:val="24"/>
          <w:szCs w:val="24"/>
        </w:rPr>
        <w:t>41,9</w:t>
      </w:r>
      <w:r w:rsidRPr="00FE0126">
        <w:rPr>
          <w:rFonts w:ascii="Times New Roman" w:eastAsia="Times New Roman" w:hAnsi="Times New Roman" w:cs="Times New Roman"/>
          <w:sz w:val="24"/>
          <w:szCs w:val="24"/>
        </w:rPr>
        <w:t>% соответственно;</w:t>
      </w:r>
    </w:p>
    <w:p w:rsidR="00C373C9" w:rsidRDefault="00C373C9" w:rsidP="00C373C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12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в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году занимают расходы по  разделу 01 «Общегосударственные вопросы»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менее 1,0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в расходах бюджета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. Объем расходов по отраслям «социального блока» (культура, социальная политика) составит в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(8140,0 тыс. рублей) 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>объема расходов бюджета</w:t>
      </w:r>
      <w:r>
        <w:rPr>
          <w:rFonts w:ascii="Times New Roman" w:eastAsia="Times New Roman" w:hAnsi="Times New Roman" w:cs="Times New Roman"/>
          <w:sz w:val="24"/>
          <w:szCs w:val="24"/>
        </w:rPr>
        <w:t>, что выше на  3,8 процентных пункта (7285,8 тыс. рублей – 1,7%) оценки исполнения 2023 года.</w:t>
      </w:r>
      <w:r w:rsidRPr="003F1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127A" w:rsidRDefault="00D7127A" w:rsidP="00C373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утверждены, соответственно </w:t>
      </w:r>
      <w:r w:rsidR="003822D1">
        <w:rPr>
          <w:rFonts w:ascii="Times New Roman" w:eastAsia="Times New Roman" w:hAnsi="Times New Roman" w:cs="Times New Roman"/>
          <w:sz w:val="24"/>
          <w:szCs w:val="24"/>
        </w:rPr>
        <w:t>1691,7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822D1">
        <w:rPr>
          <w:rFonts w:ascii="Times New Roman" w:eastAsia="Times New Roman" w:hAnsi="Times New Roman" w:cs="Times New Roman"/>
          <w:sz w:val="24"/>
          <w:szCs w:val="24"/>
        </w:rPr>
        <w:t xml:space="preserve">3478,5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</w:t>
      </w:r>
      <w:r w:rsidRPr="004B389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F604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4B38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7089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,0%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044" w:rsidRPr="003F6044">
        <w:rPr>
          <w:rFonts w:ascii="Times New Roman" w:eastAsia="Times New Roman" w:hAnsi="Times New Roman" w:cs="Times New Roman"/>
          <w:sz w:val="24"/>
          <w:szCs w:val="24"/>
        </w:rPr>
        <w:t xml:space="preserve">расходов бюджета (без учета расходов бюджета, </w:t>
      </w:r>
      <w:bookmarkStart w:id="0" w:name="_GoBack"/>
      <w:r w:rsidR="003F6044" w:rsidRPr="003F6044">
        <w:rPr>
          <w:rFonts w:ascii="Times New Roman" w:eastAsia="Times New Roman" w:hAnsi="Times New Roman" w:cs="Times New Roman"/>
          <w:sz w:val="24"/>
          <w:szCs w:val="24"/>
        </w:rPr>
        <w:t>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3F60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Ограничение ст. 184.1 Бюджетного кодекса РФ соблюдено.</w:t>
      </w:r>
    </w:p>
    <w:p w:rsidR="00EC5966" w:rsidRDefault="00D7127A" w:rsidP="00C373C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</w:t>
      </w:r>
      <w:r w:rsidR="0011415C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 сбалансирован по доходам и расходам. В </w:t>
      </w:r>
      <w:r w:rsidR="005003A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822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 году согласно проект</w:t>
      </w:r>
      <w:r w:rsidR="0069010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 решения главным администратором источников финансирования дефицита бюджета является финансовый отдел администрации Суражского района. Так же утверждены источники внутреннего финансирования дефицита бюджета </w:t>
      </w:r>
      <w:r w:rsidR="0011415C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="00EC5966" w:rsidRPr="003F1AD2">
        <w:rPr>
          <w:rFonts w:ascii="Times New Roman" w:eastAsia="Times New Roman" w:hAnsi="Times New Roman" w:cs="Times New Roman"/>
          <w:sz w:val="24"/>
          <w:szCs w:val="24"/>
        </w:rPr>
        <w:t xml:space="preserve"> – изменение остатков средств на счетах по учету </w:t>
      </w:r>
      <w:r w:rsidR="00EC5966" w:rsidRPr="00020065">
        <w:rPr>
          <w:rFonts w:ascii="Times New Roman" w:eastAsia="Times New Roman" w:hAnsi="Times New Roman" w:cs="Times New Roman"/>
          <w:sz w:val="24"/>
          <w:szCs w:val="24"/>
        </w:rPr>
        <w:t>средств бюджета.</w:t>
      </w:r>
      <w:r w:rsidR="003B0308" w:rsidRPr="00020065">
        <w:rPr>
          <w:rFonts w:ascii="Times New Roman" w:hAnsi="Times New Roman" w:cs="Times New Roman"/>
          <w:sz w:val="24"/>
          <w:szCs w:val="24"/>
        </w:rPr>
        <w:t xml:space="preserve"> </w:t>
      </w:r>
      <w:r w:rsidR="0069010C" w:rsidRPr="00020065">
        <w:rPr>
          <w:rFonts w:ascii="Times New Roman" w:hAnsi="Times New Roman" w:cs="Times New Roman"/>
          <w:sz w:val="24"/>
          <w:szCs w:val="24"/>
        </w:rPr>
        <w:t>Таким образом</w:t>
      </w:r>
      <w:r w:rsidR="00020065">
        <w:rPr>
          <w:rFonts w:ascii="Times New Roman" w:hAnsi="Times New Roman" w:cs="Times New Roman"/>
          <w:sz w:val="24"/>
          <w:szCs w:val="24"/>
        </w:rPr>
        <w:t>,</w:t>
      </w:r>
      <w:r w:rsidR="0069010C" w:rsidRPr="00020065">
        <w:rPr>
          <w:rFonts w:ascii="Times New Roman" w:hAnsi="Times New Roman" w:cs="Times New Roman"/>
          <w:sz w:val="24"/>
          <w:szCs w:val="24"/>
        </w:rPr>
        <w:t xml:space="preserve"> н</w:t>
      </w:r>
      <w:r w:rsidR="003B0308" w:rsidRPr="00020065">
        <w:rPr>
          <w:rFonts w:ascii="Times New Roman" w:eastAsia="Times New Roman" w:hAnsi="Times New Roman" w:cs="Times New Roman"/>
          <w:sz w:val="24"/>
          <w:szCs w:val="24"/>
        </w:rPr>
        <w:t>ормы</w:t>
      </w:r>
      <w:r w:rsidR="003B0308" w:rsidRPr="003B0308">
        <w:rPr>
          <w:rFonts w:ascii="Times New Roman" w:eastAsia="Times New Roman" w:hAnsi="Times New Roman" w:cs="Times New Roman"/>
          <w:sz w:val="24"/>
          <w:szCs w:val="24"/>
        </w:rPr>
        <w:t xml:space="preserve"> п. 3 статьи 92.1 БК РФ – соблюдены.</w:t>
      </w:r>
    </w:p>
    <w:p w:rsidR="0085390C" w:rsidRDefault="0085390C" w:rsidP="00C373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«О бюджете Суражского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>»  расходы на реализацию целевых программ  в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составляют </w:t>
      </w:r>
      <w:r>
        <w:rPr>
          <w:rFonts w:ascii="Times New Roman" w:eastAsia="Times New Roman" w:hAnsi="Times New Roman" w:cs="Times New Roman"/>
          <w:sz w:val="24"/>
          <w:szCs w:val="24"/>
        </w:rPr>
        <w:t>147994,1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99,9% объема расходов бюджета,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первоначального плана бюджета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>
        <w:rPr>
          <w:rFonts w:ascii="Times New Roman" w:eastAsia="Times New Roman" w:hAnsi="Times New Roman" w:cs="Times New Roman"/>
          <w:sz w:val="24"/>
          <w:szCs w:val="24"/>
        </w:rPr>
        <w:t>58548,8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4"/>
          <w:szCs w:val="24"/>
        </w:rPr>
        <w:t>в 1,7 раза</w:t>
      </w:r>
      <w:r w:rsidRPr="00E101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E6CB4" w:rsidRDefault="00604D08" w:rsidP="00C373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F2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CB4" w:rsidRPr="002E6CB4">
        <w:rPr>
          <w:rFonts w:ascii="Times New Roman" w:eastAsia="Times New Roman" w:hAnsi="Times New Roman" w:cs="Times New Roman"/>
          <w:sz w:val="24"/>
          <w:szCs w:val="24"/>
        </w:rPr>
        <w:t>Непрограммные расходы бюджета на 2024- 2026 годы предусмотрены в сумме 100,5 тыс. рублей, 1792,2 тыс. рублей и 3579,0 тыс. рублей соответственно (резервный фонд и условно утверждаемые расходы). Непрограммные расходы в 2024 году занимают 0,07% от общих расходов бюджета.</w:t>
      </w:r>
    </w:p>
    <w:p w:rsidR="0090185C" w:rsidRDefault="00117153" w:rsidP="00C373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p w:rsidR="00EC5966" w:rsidRPr="009F171E" w:rsidRDefault="009F171E" w:rsidP="00C373C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C5966" w:rsidRPr="009F171E">
        <w:rPr>
          <w:rFonts w:ascii="Times New Roman" w:hAnsi="Times New Roman" w:cs="Times New Roman"/>
          <w:bCs/>
          <w:sz w:val="24"/>
          <w:szCs w:val="24"/>
        </w:rPr>
        <w:t xml:space="preserve">Контрольно-счетная палата Суражского </w:t>
      </w:r>
      <w:bookmarkEnd w:id="0"/>
      <w:r w:rsidR="00EC5966" w:rsidRPr="009F171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D21C5C">
        <w:rPr>
          <w:rFonts w:ascii="Times New Roman" w:hAnsi="Times New Roman" w:cs="Times New Roman"/>
          <w:bCs/>
          <w:sz w:val="24"/>
          <w:szCs w:val="24"/>
        </w:rPr>
        <w:t xml:space="preserve">замечаний по представленному проекту бюджета не имеет, и </w:t>
      </w:r>
      <w:r w:rsidR="00EC5966" w:rsidRPr="009F171E">
        <w:rPr>
          <w:rFonts w:ascii="Times New Roman" w:hAnsi="Times New Roman" w:cs="Times New Roman"/>
          <w:bCs/>
          <w:sz w:val="24"/>
          <w:szCs w:val="24"/>
        </w:rPr>
        <w:t xml:space="preserve">предлагает Совету народных  депутатов города Суража проект решения </w:t>
      </w:r>
      <w:r w:rsidR="00452F21" w:rsidRPr="00AC50EA">
        <w:rPr>
          <w:rFonts w:ascii="Times New Roman" w:eastAsia="Times New Roman" w:hAnsi="Times New Roman" w:cs="Times New Roman"/>
          <w:sz w:val="24"/>
          <w:szCs w:val="24"/>
        </w:rPr>
        <w:t xml:space="preserve">«О бюджете Суражского городского поселения  Суражского муниципального района Брянской области </w:t>
      </w:r>
      <w:r w:rsidR="0011415C">
        <w:rPr>
          <w:rFonts w:ascii="Times New Roman" w:eastAsia="Times New Roman" w:hAnsi="Times New Roman" w:cs="Times New Roman"/>
          <w:sz w:val="24"/>
          <w:szCs w:val="24"/>
        </w:rPr>
        <w:t>на 2024 год и на плановый период 2025 и 2026 годов</w:t>
      </w:r>
      <w:r w:rsidR="00452F21" w:rsidRPr="00AC50E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2D2A" w:rsidRPr="009F17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C5C">
        <w:rPr>
          <w:rFonts w:ascii="Times New Roman" w:hAnsi="Times New Roman" w:cs="Times New Roman"/>
          <w:bCs/>
          <w:sz w:val="24"/>
          <w:szCs w:val="24"/>
        </w:rPr>
        <w:t>к рассмотрению</w:t>
      </w:r>
      <w:r w:rsidR="00EC5966" w:rsidRPr="009F171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C5966" w:rsidRPr="00912C59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C59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EC5966" w:rsidRPr="00912C59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C59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EC5966" w:rsidRPr="00912C59" w:rsidRDefault="00EC5966" w:rsidP="00EC5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C59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912C59">
        <w:rPr>
          <w:rFonts w:ascii="Times New Roman" w:eastAsia="Times New Roman" w:hAnsi="Times New Roman" w:cs="Times New Roman"/>
          <w:sz w:val="24"/>
          <w:szCs w:val="24"/>
        </w:rPr>
        <w:t>                                                   </w:t>
      </w:r>
      <w:r w:rsidR="004F4B95" w:rsidRPr="00912C59">
        <w:rPr>
          <w:rFonts w:ascii="Times New Roman" w:eastAsia="Times New Roman" w:hAnsi="Times New Roman" w:cs="Times New Roman"/>
          <w:sz w:val="24"/>
          <w:szCs w:val="24"/>
        </w:rPr>
        <w:t>Н. В. Жидкова</w:t>
      </w:r>
      <w:r w:rsidRPr="00912C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EC5966" w:rsidRPr="0091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179"/>
    <w:multiLevelType w:val="hybridMultilevel"/>
    <w:tmpl w:val="606225A8"/>
    <w:lvl w:ilvl="0" w:tplc="8D8E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327C9"/>
    <w:multiLevelType w:val="hybridMultilevel"/>
    <w:tmpl w:val="0B8EB0E2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A75A98"/>
    <w:multiLevelType w:val="hybridMultilevel"/>
    <w:tmpl w:val="B002E4F0"/>
    <w:lvl w:ilvl="0" w:tplc="032026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F30739"/>
    <w:multiLevelType w:val="hybridMultilevel"/>
    <w:tmpl w:val="5DA86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8A3143"/>
    <w:multiLevelType w:val="hybridMultilevel"/>
    <w:tmpl w:val="D9809F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966"/>
    <w:rsid w:val="000014C8"/>
    <w:rsid w:val="00001C4C"/>
    <w:rsid w:val="000025D9"/>
    <w:rsid w:val="0000277C"/>
    <w:rsid w:val="0000284F"/>
    <w:rsid w:val="000040F2"/>
    <w:rsid w:val="00012681"/>
    <w:rsid w:val="0001306C"/>
    <w:rsid w:val="0001492D"/>
    <w:rsid w:val="00015DFA"/>
    <w:rsid w:val="00016C2D"/>
    <w:rsid w:val="00017322"/>
    <w:rsid w:val="00020065"/>
    <w:rsid w:val="000218F2"/>
    <w:rsid w:val="00021E7F"/>
    <w:rsid w:val="00023948"/>
    <w:rsid w:val="00023D98"/>
    <w:rsid w:val="00025275"/>
    <w:rsid w:val="00030C11"/>
    <w:rsid w:val="00032684"/>
    <w:rsid w:val="00033EC7"/>
    <w:rsid w:val="0004008E"/>
    <w:rsid w:val="00040FA1"/>
    <w:rsid w:val="00044E3F"/>
    <w:rsid w:val="00045A14"/>
    <w:rsid w:val="00046F0E"/>
    <w:rsid w:val="00047196"/>
    <w:rsid w:val="00047842"/>
    <w:rsid w:val="00062AE8"/>
    <w:rsid w:val="00063994"/>
    <w:rsid w:val="00063E88"/>
    <w:rsid w:val="0006449B"/>
    <w:rsid w:val="00070770"/>
    <w:rsid w:val="00072421"/>
    <w:rsid w:val="00073411"/>
    <w:rsid w:val="000920DB"/>
    <w:rsid w:val="000933AE"/>
    <w:rsid w:val="00093A70"/>
    <w:rsid w:val="00093B22"/>
    <w:rsid w:val="000A1444"/>
    <w:rsid w:val="000A3630"/>
    <w:rsid w:val="000A4A01"/>
    <w:rsid w:val="000A51F9"/>
    <w:rsid w:val="000A6EBA"/>
    <w:rsid w:val="000A73A7"/>
    <w:rsid w:val="000A7DB2"/>
    <w:rsid w:val="000B052A"/>
    <w:rsid w:val="000B3174"/>
    <w:rsid w:val="000B3AA9"/>
    <w:rsid w:val="000C0980"/>
    <w:rsid w:val="000C712E"/>
    <w:rsid w:val="000C781C"/>
    <w:rsid w:val="000C7AF8"/>
    <w:rsid w:val="000D02F0"/>
    <w:rsid w:val="000D0849"/>
    <w:rsid w:val="000D09D9"/>
    <w:rsid w:val="000D1E70"/>
    <w:rsid w:val="000D4E2A"/>
    <w:rsid w:val="000D6EB3"/>
    <w:rsid w:val="000D7453"/>
    <w:rsid w:val="000E344B"/>
    <w:rsid w:val="000E53ED"/>
    <w:rsid w:val="000E5C87"/>
    <w:rsid w:val="000E7612"/>
    <w:rsid w:val="000F0232"/>
    <w:rsid w:val="000F1BF9"/>
    <w:rsid w:val="000F2C2D"/>
    <w:rsid w:val="0010044D"/>
    <w:rsid w:val="00100E37"/>
    <w:rsid w:val="001024C1"/>
    <w:rsid w:val="00102F9C"/>
    <w:rsid w:val="00103DAD"/>
    <w:rsid w:val="0010709B"/>
    <w:rsid w:val="00107611"/>
    <w:rsid w:val="001108BC"/>
    <w:rsid w:val="001119A8"/>
    <w:rsid w:val="00111BD5"/>
    <w:rsid w:val="00112FAC"/>
    <w:rsid w:val="0011415C"/>
    <w:rsid w:val="00117153"/>
    <w:rsid w:val="00122910"/>
    <w:rsid w:val="0012309F"/>
    <w:rsid w:val="00123848"/>
    <w:rsid w:val="001238BF"/>
    <w:rsid w:val="00123E59"/>
    <w:rsid w:val="00125E18"/>
    <w:rsid w:val="00126908"/>
    <w:rsid w:val="001304C8"/>
    <w:rsid w:val="00133966"/>
    <w:rsid w:val="001354FC"/>
    <w:rsid w:val="00140F8B"/>
    <w:rsid w:val="00141124"/>
    <w:rsid w:val="00143BAF"/>
    <w:rsid w:val="00144CEA"/>
    <w:rsid w:val="00145B2E"/>
    <w:rsid w:val="00147494"/>
    <w:rsid w:val="00156C71"/>
    <w:rsid w:val="00157780"/>
    <w:rsid w:val="00166D88"/>
    <w:rsid w:val="001676A5"/>
    <w:rsid w:val="0017195E"/>
    <w:rsid w:val="00172533"/>
    <w:rsid w:val="00177EA3"/>
    <w:rsid w:val="001800D3"/>
    <w:rsid w:val="00180E06"/>
    <w:rsid w:val="00181C53"/>
    <w:rsid w:val="00181E73"/>
    <w:rsid w:val="00185C96"/>
    <w:rsid w:val="0019211F"/>
    <w:rsid w:val="00193C2B"/>
    <w:rsid w:val="001954EE"/>
    <w:rsid w:val="0019749F"/>
    <w:rsid w:val="001A2BF8"/>
    <w:rsid w:val="001A3D11"/>
    <w:rsid w:val="001A473A"/>
    <w:rsid w:val="001A660C"/>
    <w:rsid w:val="001A6A23"/>
    <w:rsid w:val="001A761C"/>
    <w:rsid w:val="001B5465"/>
    <w:rsid w:val="001C15FC"/>
    <w:rsid w:val="001C465F"/>
    <w:rsid w:val="001C6241"/>
    <w:rsid w:val="001C716B"/>
    <w:rsid w:val="001D03F8"/>
    <w:rsid w:val="001D1FF3"/>
    <w:rsid w:val="001D4BEC"/>
    <w:rsid w:val="001D7503"/>
    <w:rsid w:val="001E1886"/>
    <w:rsid w:val="001E1BC5"/>
    <w:rsid w:val="001E4646"/>
    <w:rsid w:val="00205360"/>
    <w:rsid w:val="002104EA"/>
    <w:rsid w:val="002142AD"/>
    <w:rsid w:val="002169BC"/>
    <w:rsid w:val="002219C2"/>
    <w:rsid w:val="00222E41"/>
    <w:rsid w:val="00223021"/>
    <w:rsid w:val="0023120F"/>
    <w:rsid w:val="00231517"/>
    <w:rsid w:val="00231D0F"/>
    <w:rsid w:val="002355A5"/>
    <w:rsid w:val="00235BF9"/>
    <w:rsid w:val="0023649B"/>
    <w:rsid w:val="002368A3"/>
    <w:rsid w:val="002411C4"/>
    <w:rsid w:val="002440A9"/>
    <w:rsid w:val="00247015"/>
    <w:rsid w:val="00247715"/>
    <w:rsid w:val="00251E4D"/>
    <w:rsid w:val="00252487"/>
    <w:rsid w:val="0025624A"/>
    <w:rsid w:val="00260020"/>
    <w:rsid w:val="00261B40"/>
    <w:rsid w:val="00266A28"/>
    <w:rsid w:val="002670CF"/>
    <w:rsid w:val="00272444"/>
    <w:rsid w:val="00275DB8"/>
    <w:rsid w:val="00280413"/>
    <w:rsid w:val="002807CF"/>
    <w:rsid w:val="00283611"/>
    <w:rsid w:val="00284F32"/>
    <w:rsid w:val="0028598A"/>
    <w:rsid w:val="0028678C"/>
    <w:rsid w:val="0029168A"/>
    <w:rsid w:val="00292337"/>
    <w:rsid w:val="00292F68"/>
    <w:rsid w:val="00295288"/>
    <w:rsid w:val="002972CA"/>
    <w:rsid w:val="00297C4E"/>
    <w:rsid w:val="00297D2C"/>
    <w:rsid w:val="002A1C50"/>
    <w:rsid w:val="002A1F7E"/>
    <w:rsid w:val="002A1FF7"/>
    <w:rsid w:val="002A3D54"/>
    <w:rsid w:val="002A6593"/>
    <w:rsid w:val="002A7D65"/>
    <w:rsid w:val="002B2003"/>
    <w:rsid w:val="002B4928"/>
    <w:rsid w:val="002B65BF"/>
    <w:rsid w:val="002C06C7"/>
    <w:rsid w:val="002C7864"/>
    <w:rsid w:val="002D04AE"/>
    <w:rsid w:val="002D08EC"/>
    <w:rsid w:val="002D0A7F"/>
    <w:rsid w:val="002D0D7B"/>
    <w:rsid w:val="002D3E40"/>
    <w:rsid w:val="002D4F9F"/>
    <w:rsid w:val="002E07C0"/>
    <w:rsid w:val="002E6CB4"/>
    <w:rsid w:val="002E75AA"/>
    <w:rsid w:val="002F1C78"/>
    <w:rsid w:val="002F23DA"/>
    <w:rsid w:val="002F6912"/>
    <w:rsid w:val="00300654"/>
    <w:rsid w:val="0030261E"/>
    <w:rsid w:val="00307341"/>
    <w:rsid w:val="0031221D"/>
    <w:rsid w:val="00312B1C"/>
    <w:rsid w:val="0031315D"/>
    <w:rsid w:val="00313333"/>
    <w:rsid w:val="003139B6"/>
    <w:rsid w:val="00313F3E"/>
    <w:rsid w:val="003147CC"/>
    <w:rsid w:val="00314E7B"/>
    <w:rsid w:val="00315642"/>
    <w:rsid w:val="00316757"/>
    <w:rsid w:val="00324329"/>
    <w:rsid w:val="003252E5"/>
    <w:rsid w:val="00327925"/>
    <w:rsid w:val="0033114F"/>
    <w:rsid w:val="003326B1"/>
    <w:rsid w:val="00332EED"/>
    <w:rsid w:val="0034455E"/>
    <w:rsid w:val="00344F31"/>
    <w:rsid w:val="00344F60"/>
    <w:rsid w:val="003453AB"/>
    <w:rsid w:val="00345434"/>
    <w:rsid w:val="00346D15"/>
    <w:rsid w:val="00347782"/>
    <w:rsid w:val="00347967"/>
    <w:rsid w:val="003524EB"/>
    <w:rsid w:val="00352A1E"/>
    <w:rsid w:val="00354CDF"/>
    <w:rsid w:val="00357ED7"/>
    <w:rsid w:val="00360642"/>
    <w:rsid w:val="003614B5"/>
    <w:rsid w:val="00361C5E"/>
    <w:rsid w:val="003642A2"/>
    <w:rsid w:val="003657CB"/>
    <w:rsid w:val="00365BB4"/>
    <w:rsid w:val="00373033"/>
    <w:rsid w:val="00376C7E"/>
    <w:rsid w:val="00380A2D"/>
    <w:rsid w:val="00380A79"/>
    <w:rsid w:val="00380CB4"/>
    <w:rsid w:val="003811F3"/>
    <w:rsid w:val="003822D1"/>
    <w:rsid w:val="00382DA4"/>
    <w:rsid w:val="00386EE7"/>
    <w:rsid w:val="00387445"/>
    <w:rsid w:val="00390DA2"/>
    <w:rsid w:val="00394866"/>
    <w:rsid w:val="00396535"/>
    <w:rsid w:val="003A378F"/>
    <w:rsid w:val="003A4256"/>
    <w:rsid w:val="003A4A3C"/>
    <w:rsid w:val="003A7B07"/>
    <w:rsid w:val="003B0308"/>
    <w:rsid w:val="003B1B5E"/>
    <w:rsid w:val="003B36A3"/>
    <w:rsid w:val="003B3B1C"/>
    <w:rsid w:val="003B7F4E"/>
    <w:rsid w:val="003C1EB5"/>
    <w:rsid w:val="003C5826"/>
    <w:rsid w:val="003C6404"/>
    <w:rsid w:val="003D0970"/>
    <w:rsid w:val="003D2EF3"/>
    <w:rsid w:val="003D6FE1"/>
    <w:rsid w:val="003E1015"/>
    <w:rsid w:val="003E374F"/>
    <w:rsid w:val="003F1AD2"/>
    <w:rsid w:val="003F23A4"/>
    <w:rsid w:val="003F2517"/>
    <w:rsid w:val="003F3F2D"/>
    <w:rsid w:val="003F4633"/>
    <w:rsid w:val="003F6044"/>
    <w:rsid w:val="003F7939"/>
    <w:rsid w:val="004024D4"/>
    <w:rsid w:val="00402911"/>
    <w:rsid w:val="00404BE9"/>
    <w:rsid w:val="00405773"/>
    <w:rsid w:val="00406A3D"/>
    <w:rsid w:val="00413BFD"/>
    <w:rsid w:val="004158C5"/>
    <w:rsid w:val="00416431"/>
    <w:rsid w:val="00416BAE"/>
    <w:rsid w:val="00416CC3"/>
    <w:rsid w:val="00422024"/>
    <w:rsid w:val="004237C2"/>
    <w:rsid w:val="004237CF"/>
    <w:rsid w:val="00425865"/>
    <w:rsid w:val="00427285"/>
    <w:rsid w:val="00427369"/>
    <w:rsid w:val="00427B86"/>
    <w:rsid w:val="004300E7"/>
    <w:rsid w:val="0044081D"/>
    <w:rsid w:val="00443BE0"/>
    <w:rsid w:val="00443FB4"/>
    <w:rsid w:val="004447F5"/>
    <w:rsid w:val="004450D2"/>
    <w:rsid w:val="004474F9"/>
    <w:rsid w:val="0045045E"/>
    <w:rsid w:val="00452F21"/>
    <w:rsid w:val="00453CC0"/>
    <w:rsid w:val="00457A47"/>
    <w:rsid w:val="00457CAC"/>
    <w:rsid w:val="00461473"/>
    <w:rsid w:val="00463239"/>
    <w:rsid w:val="00470FB1"/>
    <w:rsid w:val="0047178D"/>
    <w:rsid w:val="00471B56"/>
    <w:rsid w:val="00471F67"/>
    <w:rsid w:val="004733B3"/>
    <w:rsid w:val="00474EB7"/>
    <w:rsid w:val="004824AF"/>
    <w:rsid w:val="0048731A"/>
    <w:rsid w:val="00491BA1"/>
    <w:rsid w:val="0049357D"/>
    <w:rsid w:val="0049457A"/>
    <w:rsid w:val="004955AA"/>
    <w:rsid w:val="004959E6"/>
    <w:rsid w:val="004A33E7"/>
    <w:rsid w:val="004A3B0F"/>
    <w:rsid w:val="004A4261"/>
    <w:rsid w:val="004A51D3"/>
    <w:rsid w:val="004A72DC"/>
    <w:rsid w:val="004B147F"/>
    <w:rsid w:val="004B3891"/>
    <w:rsid w:val="004B3997"/>
    <w:rsid w:val="004B588D"/>
    <w:rsid w:val="004C03DF"/>
    <w:rsid w:val="004C72C0"/>
    <w:rsid w:val="004D1099"/>
    <w:rsid w:val="004D3065"/>
    <w:rsid w:val="004D4389"/>
    <w:rsid w:val="004D7537"/>
    <w:rsid w:val="004F027F"/>
    <w:rsid w:val="004F33D8"/>
    <w:rsid w:val="004F4A56"/>
    <w:rsid w:val="004F4B95"/>
    <w:rsid w:val="004F56A1"/>
    <w:rsid w:val="004F7FCC"/>
    <w:rsid w:val="005003A4"/>
    <w:rsid w:val="00502C4A"/>
    <w:rsid w:val="00503B90"/>
    <w:rsid w:val="00510548"/>
    <w:rsid w:val="005123EB"/>
    <w:rsid w:val="00512B73"/>
    <w:rsid w:val="00513E9D"/>
    <w:rsid w:val="00516435"/>
    <w:rsid w:val="005167CE"/>
    <w:rsid w:val="00517982"/>
    <w:rsid w:val="00520010"/>
    <w:rsid w:val="005202E9"/>
    <w:rsid w:val="00521C9A"/>
    <w:rsid w:val="00521E9C"/>
    <w:rsid w:val="0052236E"/>
    <w:rsid w:val="00524595"/>
    <w:rsid w:val="005250EC"/>
    <w:rsid w:val="0052681D"/>
    <w:rsid w:val="005309F4"/>
    <w:rsid w:val="00532FD7"/>
    <w:rsid w:val="00533144"/>
    <w:rsid w:val="005345F5"/>
    <w:rsid w:val="005357A4"/>
    <w:rsid w:val="0054160A"/>
    <w:rsid w:val="00543554"/>
    <w:rsid w:val="00546B96"/>
    <w:rsid w:val="0055032C"/>
    <w:rsid w:val="00551DFB"/>
    <w:rsid w:val="005523EB"/>
    <w:rsid w:val="00552C59"/>
    <w:rsid w:val="00555011"/>
    <w:rsid w:val="00561715"/>
    <w:rsid w:val="00561B5E"/>
    <w:rsid w:val="00565C4C"/>
    <w:rsid w:val="00565D24"/>
    <w:rsid w:val="0057073F"/>
    <w:rsid w:val="0057101A"/>
    <w:rsid w:val="005742D6"/>
    <w:rsid w:val="00575EBD"/>
    <w:rsid w:val="005774C8"/>
    <w:rsid w:val="0058352E"/>
    <w:rsid w:val="005852A2"/>
    <w:rsid w:val="00585B51"/>
    <w:rsid w:val="005874AA"/>
    <w:rsid w:val="005953E1"/>
    <w:rsid w:val="00595F00"/>
    <w:rsid w:val="005963FC"/>
    <w:rsid w:val="00596D42"/>
    <w:rsid w:val="005A1DED"/>
    <w:rsid w:val="005A1E70"/>
    <w:rsid w:val="005A239A"/>
    <w:rsid w:val="005A4273"/>
    <w:rsid w:val="005A7188"/>
    <w:rsid w:val="005A734D"/>
    <w:rsid w:val="005B2156"/>
    <w:rsid w:val="005B2A26"/>
    <w:rsid w:val="005B2C78"/>
    <w:rsid w:val="005B34B7"/>
    <w:rsid w:val="005C50E7"/>
    <w:rsid w:val="005C6FE7"/>
    <w:rsid w:val="005D06E0"/>
    <w:rsid w:val="005D123A"/>
    <w:rsid w:val="005D6732"/>
    <w:rsid w:val="005E10CF"/>
    <w:rsid w:val="005E169C"/>
    <w:rsid w:val="005E280B"/>
    <w:rsid w:val="005E437A"/>
    <w:rsid w:val="005E5819"/>
    <w:rsid w:val="005E5BF6"/>
    <w:rsid w:val="005E7090"/>
    <w:rsid w:val="005E7E9C"/>
    <w:rsid w:val="005F5889"/>
    <w:rsid w:val="00603B7A"/>
    <w:rsid w:val="00604D08"/>
    <w:rsid w:val="0060772C"/>
    <w:rsid w:val="00610EC8"/>
    <w:rsid w:val="00612AA2"/>
    <w:rsid w:val="006136FA"/>
    <w:rsid w:val="00614D27"/>
    <w:rsid w:val="0061513B"/>
    <w:rsid w:val="00615897"/>
    <w:rsid w:val="00617626"/>
    <w:rsid w:val="00617F35"/>
    <w:rsid w:val="006201B7"/>
    <w:rsid w:val="00620671"/>
    <w:rsid w:val="006216C4"/>
    <w:rsid w:val="006225CF"/>
    <w:rsid w:val="006226E0"/>
    <w:rsid w:val="006233AB"/>
    <w:rsid w:val="00625E28"/>
    <w:rsid w:val="0062782B"/>
    <w:rsid w:val="00632748"/>
    <w:rsid w:val="00633F31"/>
    <w:rsid w:val="00636094"/>
    <w:rsid w:val="00641300"/>
    <w:rsid w:val="00641A7F"/>
    <w:rsid w:val="00644B87"/>
    <w:rsid w:val="006454EE"/>
    <w:rsid w:val="0065144C"/>
    <w:rsid w:val="006527D0"/>
    <w:rsid w:val="00654186"/>
    <w:rsid w:val="0065570F"/>
    <w:rsid w:val="0065632D"/>
    <w:rsid w:val="00656DB2"/>
    <w:rsid w:val="0066029F"/>
    <w:rsid w:val="00663741"/>
    <w:rsid w:val="00663941"/>
    <w:rsid w:val="0066437F"/>
    <w:rsid w:val="00670D23"/>
    <w:rsid w:val="00670DFF"/>
    <w:rsid w:val="00674808"/>
    <w:rsid w:val="00674F2C"/>
    <w:rsid w:val="00680A63"/>
    <w:rsid w:val="00680E5E"/>
    <w:rsid w:val="006825BE"/>
    <w:rsid w:val="00682809"/>
    <w:rsid w:val="00682D0F"/>
    <w:rsid w:val="006873EF"/>
    <w:rsid w:val="0069010C"/>
    <w:rsid w:val="006910A6"/>
    <w:rsid w:val="00692C9E"/>
    <w:rsid w:val="00696DFD"/>
    <w:rsid w:val="006A5907"/>
    <w:rsid w:val="006A76FA"/>
    <w:rsid w:val="006B10C2"/>
    <w:rsid w:val="006B2635"/>
    <w:rsid w:val="006B34B0"/>
    <w:rsid w:val="006B42EE"/>
    <w:rsid w:val="006B6BEF"/>
    <w:rsid w:val="006B7D74"/>
    <w:rsid w:val="006C1543"/>
    <w:rsid w:val="006C1806"/>
    <w:rsid w:val="006C3627"/>
    <w:rsid w:val="006C5D65"/>
    <w:rsid w:val="006C72A2"/>
    <w:rsid w:val="006D02F1"/>
    <w:rsid w:val="006D14CB"/>
    <w:rsid w:val="006D2E07"/>
    <w:rsid w:val="006D5FC9"/>
    <w:rsid w:val="006D6F05"/>
    <w:rsid w:val="006D77BF"/>
    <w:rsid w:val="006E2D2A"/>
    <w:rsid w:val="006E4374"/>
    <w:rsid w:val="006E4532"/>
    <w:rsid w:val="006E53E3"/>
    <w:rsid w:val="006E5E6C"/>
    <w:rsid w:val="006E6CEE"/>
    <w:rsid w:val="006F0FFE"/>
    <w:rsid w:val="006F266F"/>
    <w:rsid w:val="006F2A04"/>
    <w:rsid w:val="006F31AE"/>
    <w:rsid w:val="006F4081"/>
    <w:rsid w:val="007066E3"/>
    <w:rsid w:val="007075B3"/>
    <w:rsid w:val="0071295E"/>
    <w:rsid w:val="00714214"/>
    <w:rsid w:val="00715BA9"/>
    <w:rsid w:val="0072211A"/>
    <w:rsid w:val="00722D5C"/>
    <w:rsid w:val="00727903"/>
    <w:rsid w:val="0073054E"/>
    <w:rsid w:val="00732909"/>
    <w:rsid w:val="00734186"/>
    <w:rsid w:val="00734B5C"/>
    <w:rsid w:val="0073543E"/>
    <w:rsid w:val="00736A01"/>
    <w:rsid w:val="00740464"/>
    <w:rsid w:val="007422BB"/>
    <w:rsid w:val="00742C02"/>
    <w:rsid w:val="00747C8A"/>
    <w:rsid w:val="00750D1B"/>
    <w:rsid w:val="00751A18"/>
    <w:rsid w:val="00752563"/>
    <w:rsid w:val="007540F4"/>
    <w:rsid w:val="00755FD5"/>
    <w:rsid w:val="007611FA"/>
    <w:rsid w:val="007623B6"/>
    <w:rsid w:val="007628FF"/>
    <w:rsid w:val="00763DB8"/>
    <w:rsid w:val="007657B6"/>
    <w:rsid w:val="0078028A"/>
    <w:rsid w:val="00780615"/>
    <w:rsid w:val="0078151E"/>
    <w:rsid w:val="00782F16"/>
    <w:rsid w:val="00783035"/>
    <w:rsid w:val="007844D0"/>
    <w:rsid w:val="00784C8C"/>
    <w:rsid w:val="007853AA"/>
    <w:rsid w:val="00786EE4"/>
    <w:rsid w:val="00793B05"/>
    <w:rsid w:val="00794462"/>
    <w:rsid w:val="007953BA"/>
    <w:rsid w:val="007A3607"/>
    <w:rsid w:val="007B0327"/>
    <w:rsid w:val="007B3CFE"/>
    <w:rsid w:val="007B532E"/>
    <w:rsid w:val="007B56C4"/>
    <w:rsid w:val="007C1392"/>
    <w:rsid w:val="007C5D75"/>
    <w:rsid w:val="007C77D9"/>
    <w:rsid w:val="007D107F"/>
    <w:rsid w:val="007D1177"/>
    <w:rsid w:val="007D1ADE"/>
    <w:rsid w:val="007D38A3"/>
    <w:rsid w:val="007D7C61"/>
    <w:rsid w:val="007E146E"/>
    <w:rsid w:val="007E55DD"/>
    <w:rsid w:val="007E7E9C"/>
    <w:rsid w:val="007F009D"/>
    <w:rsid w:val="007F12CA"/>
    <w:rsid w:val="007F2BFA"/>
    <w:rsid w:val="007F4187"/>
    <w:rsid w:val="00802101"/>
    <w:rsid w:val="00804D75"/>
    <w:rsid w:val="008059B1"/>
    <w:rsid w:val="00812A6C"/>
    <w:rsid w:val="0082242F"/>
    <w:rsid w:val="008240FE"/>
    <w:rsid w:val="008253CA"/>
    <w:rsid w:val="00830222"/>
    <w:rsid w:val="0083124E"/>
    <w:rsid w:val="00833F8D"/>
    <w:rsid w:val="0083489C"/>
    <w:rsid w:val="00834C29"/>
    <w:rsid w:val="00836232"/>
    <w:rsid w:val="00842705"/>
    <w:rsid w:val="00844394"/>
    <w:rsid w:val="00844568"/>
    <w:rsid w:val="0084587D"/>
    <w:rsid w:val="00847397"/>
    <w:rsid w:val="00847E57"/>
    <w:rsid w:val="008509F0"/>
    <w:rsid w:val="008517AB"/>
    <w:rsid w:val="00851A17"/>
    <w:rsid w:val="00852BC1"/>
    <w:rsid w:val="008534B8"/>
    <w:rsid w:val="0085390C"/>
    <w:rsid w:val="008548A7"/>
    <w:rsid w:val="00855720"/>
    <w:rsid w:val="00856C1B"/>
    <w:rsid w:val="00860D26"/>
    <w:rsid w:val="00862523"/>
    <w:rsid w:val="00865353"/>
    <w:rsid w:val="00867C21"/>
    <w:rsid w:val="00874DBE"/>
    <w:rsid w:val="00884756"/>
    <w:rsid w:val="00890034"/>
    <w:rsid w:val="00890F59"/>
    <w:rsid w:val="008915D5"/>
    <w:rsid w:val="00892B3F"/>
    <w:rsid w:val="00894460"/>
    <w:rsid w:val="008953E4"/>
    <w:rsid w:val="008A3B2E"/>
    <w:rsid w:val="008A55E2"/>
    <w:rsid w:val="008B33A8"/>
    <w:rsid w:val="008B3F95"/>
    <w:rsid w:val="008B5EDF"/>
    <w:rsid w:val="008C17F6"/>
    <w:rsid w:val="008C26D5"/>
    <w:rsid w:val="008D07EC"/>
    <w:rsid w:val="008D2B7D"/>
    <w:rsid w:val="008D548B"/>
    <w:rsid w:val="008E283E"/>
    <w:rsid w:val="008E46DA"/>
    <w:rsid w:val="008E4744"/>
    <w:rsid w:val="008E5DBB"/>
    <w:rsid w:val="008E5DE3"/>
    <w:rsid w:val="008E65D8"/>
    <w:rsid w:val="008E6F1D"/>
    <w:rsid w:val="008F1682"/>
    <w:rsid w:val="008F2217"/>
    <w:rsid w:val="008F2DE6"/>
    <w:rsid w:val="008F3C20"/>
    <w:rsid w:val="008F7809"/>
    <w:rsid w:val="00900D1F"/>
    <w:rsid w:val="00901452"/>
    <w:rsid w:val="009017A4"/>
    <w:rsid w:val="0090185C"/>
    <w:rsid w:val="00902789"/>
    <w:rsid w:val="009055D7"/>
    <w:rsid w:val="00905E85"/>
    <w:rsid w:val="00911DF9"/>
    <w:rsid w:val="00912C59"/>
    <w:rsid w:val="00912D2D"/>
    <w:rsid w:val="00914647"/>
    <w:rsid w:val="00914D23"/>
    <w:rsid w:val="00920109"/>
    <w:rsid w:val="00920CBB"/>
    <w:rsid w:val="009213CE"/>
    <w:rsid w:val="00921DA9"/>
    <w:rsid w:val="00925446"/>
    <w:rsid w:val="00925613"/>
    <w:rsid w:val="0093199D"/>
    <w:rsid w:val="0094320F"/>
    <w:rsid w:val="009453A3"/>
    <w:rsid w:val="009464C2"/>
    <w:rsid w:val="00946D39"/>
    <w:rsid w:val="009501D4"/>
    <w:rsid w:val="00952EEA"/>
    <w:rsid w:val="0095744C"/>
    <w:rsid w:val="009612CD"/>
    <w:rsid w:val="00963361"/>
    <w:rsid w:val="0096586B"/>
    <w:rsid w:val="00971463"/>
    <w:rsid w:val="00971534"/>
    <w:rsid w:val="009733BD"/>
    <w:rsid w:val="00980D12"/>
    <w:rsid w:val="00983A18"/>
    <w:rsid w:val="00984FD9"/>
    <w:rsid w:val="009855AC"/>
    <w:rsid w:val="009933E4"/>
    <w:rsid w:val="00993F5E"/>
    <w:rsid w:val="00994C49"/>
    <w:rsid w:val="0099769F"/>
    <w:rsid w:val="009A2618"/>
    <w:rsid w:val="009A4910"/>
    <w:rsid w:val="009A56C2"/>
    <w:rsid w:val="009A5AEE"/>
    <w:rsid w:val="009B655A"/>
    <w:rsid w:val="009B7121"/>
    <w:rsid w:val="009C0CF4"/>
    <w:rsid w:val="009C1799"/>
    <w:rsid w:val="009C17B1"/>
    <w:rsid w:val="009C273D"/>
    <w:rsid w:val="009C2D06"/>
    <w:rsid w:val="009C445B"/>
    <w:rsid w:val="009C539D"/>
    <w:rsid w:val="009C5FE8"/>
    <w:rsid w:val="009C6538"/>
    <w:rsid w:val="009C7812"/>
    <w:rsid w:val="009D090E"/>
    <w:rsid w:val="009D642F"/>
    <w:rsid w:val="009D78A5"/>
    <w:rsid w:val="009D78E8"/>
    <w:rsid w:val="009E06BE"/>
    <w:rsid w:val="009E1CF1"/>
    <w:rsid w:val="009E65CC"/>
    <w:rsid w:val="009E79C8"/>
    <w:rsid w:val="009E7C91"/>
    <w:rsid w:val="009F108C"/>
    <w:rsid w:val="009F171E"/>
    <w:rsid w:val="009F2011"/>
    <w:rsid w:val="009F72F7"/>
    <w:rsid w:val="00A0287E"/>
    <w:rsid w:val="00A02E97"/>
    <w:rsid w:val="00A03AE2"/>
    <w:rsid w:val="00A06AE1"/>
    <w:rsid w:val="00A117F4"/>
    <w:rsid w:val="00A13CB4"/>
    <w:rsid w:val="00A21DFA"/>
    <w:rsid w:val="00A21E46"/>
    <w:rsid w:val="00A233ED"/>
    <w:rsid w:val="00A23E2A"/>
    <w:rsid w:val="00A24BBD"/>
    <w:rsid w:val="00A253C7"/>
    <w:rsid w:val="00A26EBA"/>
    <w:rsid w:val="00A27B84"/>
    <w:rsid w:val="00A302B6"/>
    <w:rsid w:val="00A30B2B"/>
    <w:rsid w:val="00A30E0E"/>
    <w:rsid w:val="00A35E2F"/>
    <w:rsid w:val="00A40FFA"/>
    <w:rsid w:val="00A41D36"/>
    <w:rsid w:val="00A430B9"/>
    <w:rsid w:val="00A44E60"/>
    <w:rsid w:val="00A51493"/>
    <w:rsid w:val="00A56BF8"/>
    <w:rsid w:val="00A65025"/>
    <w:rsid w:val="00A7089A"/>
    <w:rsid w:val="00A70F58"/>
    <w:rsid w:val="00A8016A"/>
    <w:rsid w:val="00A812F1"/>
    <w:rsid w:val="00A83FDE"/>
    <w:rsid w:val="00A85A3E"/>
    <w:rsid w:val="00A9060E"/>
    <w:rsid w:val="00A914B5"/>
    <w:rsid w:val="00A91BB7"/>
    <w:rsid w:val="00A946D8"/>
    <w:rsid w:val="00A95327"/>
    <w:rsid w:val="00A961F5"/>
    <w:rsid w:val="00A965F2"/>
    <w:rsid w:val="00A96AAE"/>
    <w:rsid w:val="00A96E5B"/>
    <w:rsid w:val="00AA08B3"/>
    <w:rsid w:val="00AA1263"/>
    <w:rsid w:val="00AA2EEA"/>
    <w:rsid w:val="00AA4BD9"/>
    <w:rsid w:val="00AA748C"/>
    <w:rsid w:val="00AB23CE"/>
    <w:rsid w:val="00AB3B3A"/>
    <w:rsid w:val="00AB57A5"/>
    <w:rsid w:val="00AB65F8"/>
    <w:rsid w:val="00AC0D0A"/>
    <w:rsid w:val="00AC1C19"/>
    <w:rsid w:val="00AC236E"/>
    <w:rsid w:val="00AC4207"/>
    <w:rsid w:val="00AC48B6"/>
    <w:rsid w:val="00AC50EA"/>
    <w:rsid w:val="00AC7C47"/>
    <w:rsid w:val="00AD0ADC"/>
    <w:rsid w:val="00AD61B5"/>
    <w:rsid w:val="00AE09F7"/>
    <w:rsid w:val="00AE3180"/>
    <w:rsid w:val="00AE776E"/>
    <w:rsid w:val="00AF196D"/>
    <w:rsid w:val="00AF21CA"/>
    <w:rsid w:val="00AF247F"/>
    <w:rsid w:val="00AF2A20"/>
    <w:rsid w:val="00AF6C0F"/>
    <w:rsid w:val="00B04480"/>
    <w:rsid w:val="00B076F3"/>
    <w:rsid w:val="00B115F0"/>
    <w:rsid w:val="00B13D85"/>
    <w:rsid w:val="00B141EE"/>
    <w:rsid w:val="00B166AD"/>
    <w:rsid w:val="00B17111"/>
    <w:rsid w:val="00B20BF3"/>
    <w:rsid w:val="00B271A4"/>
    <w:rsid w:val="00B272D1"/>
    <w:rsid w:val="00B307D8"/>
    <w:rsid w:val="00B348A3"/>
    <w:rsid w:val="00B37BCD"/>
    <w:rsid w:val="00B42211"/>
    <w:rsid w:val="00B44052"/>
    <w:rsid w:val="00B57C3F"/>
    <w:rsid w:val="00B6371A"/>
    <w:rsid w:val="00B6395E"/>
    <w:rsid w:val="00B65399"/>
    <w:rsid w:val="00B65DB8"/>
    <w:rsid w:val="00B67877"/>
    <w:rsid w:val="00B71F50"/>
    <w:rsid w:val="00B76158"/>
    <w:rsid w:val="00B81368"/>
    <w:rsid w:val="00B81FC5"/>
    <w:rsid w:val="00B84C14"/>
    <w:rsid w:val="00B85464"/>
    <w:rsid w:val="00B86004"/>
    <w:rsid w:val="00BA15BB"/>
    <w:rsid w:val="00BB08B2"/>
    <w:rsid w:val="00BB15A2"/>
    <w:rsid w:val="00BB585C"/>
    <w:rsid w:val="00BB7393"/>
    <w:rsid w:val="00BB7B59"/>
    <w:rsid w:val="00BB7F7F"/>
    <w:rsid w:val="00BC05BA"/>
    <w:rsid w:val="00BC26DD"/>
    <w:rsid w:val="00BC3A1A"/>
    <w:rsid w:val="00BC5D85"/>
    <w:rsid w:val="00BC6937"/>
    <w:rsid w:val="00BD0839"/>
    <w:rsid w:val="00BD2A52"/>
    <w:rsid w:val="00BD36ED"/>
    <w:rsid w:val="00BD6D41"/>
    <w:rsid w:val="00BD7740"/>
    <w:rsid w:val="00BD7BE5"/>
    <w:rsid w:val="00BE030E"/>
    <w:rsid w:val="00BE1DF2"/>
    <w:rsid w:val="00BE7523"/>
    <w:rsid w:val="00BF1095"/>
    <w:rsid w:val="00BF10CE"/>
    <w:rsid w:val="00BF1ACF"/>
    <w:rsid w:val="00BF2364"/>
    <w:rsid w:val="00BF2AD4"/>
    <w:rsid w:val="00BF68B1"/>
    <w:rsid w:val="00BF7A0C"/>
    <w:rsid w:val="00C01B40"/>
    <w:rsid w:val="00C04D86"/>
    <w:rsid w:val="00C06958"/>
    <w:rsid w:val="00C07778"/>
    <w:rsid w:val="00C1113F"/>
    <w:rsid w:val="00C116DA"/>
    <w:rsid w:val="00C11872"/>
    <w:rsid w:val="00C11BC7"/>
    <w:rsid w:val="00C12210"/>
    <w:rsid w:val="00C12392"/>
    <w:rsid w:val="00C1423A"/>
    <w:rsid w:val="00C14297"/>
    <w:rsid w:val="00C1515A"/>
    <w:rsid w:val="00C159FE"/>
    <w:rsid w:val="00C15CCE"/>
    <w:rsid w:val="00C17977"/>
    <w:rsid w:val="00C233D0"/>
    <w:rsid w:val="00C25AD4"/>
    <w:rsid w:val="00C26876"/>
    <w:rsid w:val="00C305FE"/>
    <w:rsid w:val="00C35372"/>
    <w:rsid w:val="00C373C9"/>
    <w:rsid w:val="00C373F0"/>
    <w:rsid w:val="00C40E12"/>
    <w:rsid w:val="00C41E89"/>
    <w:rsid w:val="00C44A65"/>
    <w:rsid w:val="00C47D24"/>
    <w:rsid w:val="00C501BF"/>
    <w:rsid w:val="00C50587"/>
    <w:rsid w:val="00C542FA"/>
    <w:rsid w:val="00C55510"/>
    <w:rsid w:val="00C55CB4"/>
    <w:rsid w:val="00C55E9A"/>
    <w:rsid w:val="00C61EDB"/>
    <w:rsid w:val="00C6271B"/>
    <w:rsid w:val="00C66201"/>
    <w:rsid w:val="00C72ADB"/>
    <w:rsid w:val="00C73B5F"/>
    <w:rsid w:val="00C75FE6"/>
    <w:rsid w:val="00C7642A"/>
    <w:rsid w:val="00C8008B"/>
    <w:rsid w:val="00C80D30"/>
    <w:rsid w:val="00C81D81"/>
    <w:rsid w:val="00C855CA"/>
    <w:rsid w:val="00C94A20"/>
    <w:rsid w:val="00C95FBE"/>
    <w:rsid w:val="00C97DA2"/>
    <w:rsid w:val="00CA3C25"/>
    <w:rsid w:val="00CA6523"/>
    <w:rsid w:val="00CA6977"/>
    <w:rsid w:val="00CA736E"/>
    <w:rsid w:val="00CB0D2B"/>
    <w:rsid w:val="00CB1FED"/>
    <w:rsid w:val="00CB2225"/>
    <w:rsid w:val="00CB2815"/>
    <w:rsid w:val="00CB467C"/>
    <w:rsid w:val="00CB51D3"/>
    <w:rsid w:val="00CB7919"/>
    <w:rsid w:val="00CB7BB6"/>
    <w:rsid w:val="00CC561E"/>
    <w:rsid w:val="00CC75B1"/>
    <w:rsid w:val="00CD40A1"/>
    <w:rsid w:val="00CD5FB3"/>
    <w:rsid w:val="00CD62E1"/>
    <w:rsid w:val="00CD69F0"/>
    <w:rsid w:val="00CD6C9E"/>
    <w:rsid w:val="00CE00C3"/>
    <w:rsid w:val="00CE321D"/>
    <w:rsid w:val="00CE3D2F"/>
    <w:rsid w:val="00CE7760"/>
    <w:rsid w:val="00CF01AB"/>
    <w:rsid w:val="00CF1C16"/>
    <w:rsid w:val="00CF2CE9"/>
    <w:rsid w:val="00CF6E12"/>
    <w:rsid w:val="00D01C06"/>
    <w:rsid w:val="00D0402F"/>
    <w:rsid w:val="00D04B1F"/>
    <w:rsid w:val="00D06864"/>
    <w:rsid w:val="00D077C7"/>
    <w:rsid w:val="00D11E67"/>
    <w:rsid w:val="00D11F42"/>
    <w:rsid w:val="00D1338E"/>
    <w:rsid w:val="00D1458C"/>
    <w:rsid w:val="00D16A13"/>
    <w:rsid w:val="00D17B23"/>
    <w:rsid w:val="00D17F94"/>
    <w:rsid w:val="00D20EF7"/>
    <w:rsid w:val="00D21C5C"/>
    <w:rsid w:val="00D227CC"/>
    <w:rsid w:val="00D25F65"/>
    <w:rsid w:val="00D34925"/>
    <w:rsid w:val="00D37329"/>
    <w:rsid w:val="00D37C4F"/>
    <w:rsid w:val="00D41C39"/>
    <w:rsid w:val="00D45F78"/>
    <w:rsid w:val="00D51084"/>
    <w:rsid w:val="00D56046"/>
    <w:rsid w:val="00D567AF"/>
    <w:rsid w:val="00D621AB"/>
    <w:rsid w:val="00D658A4"/>
    <w:rsid w:val="00D6621C"/>
    <w:rsid w:val="00D7127A"/>
    <w:rsid w:val="00D71CA8"/>
    <w:rsid w:val="00D72331"/>
    <w:rsid w:val="00D72AC4"/>
    <w:rsid w:val="00D73026"/>
    <w:rsid w:val="00D73BFC"/>
    <w:rsid w:val="00D81E71"/>
    <w:rsid w:val="00D83742"/>
    <w:rsid w:val="00D83FC7"/>
    <w:rsid w:val="00D8625F"/>
    <w:rsid w:val="00D8720E"/>
    <w:rsid w:val="00D907BD"/>
    <w:rsid w:val="00D92A49"/>
    <w:rsid w:val="00D9381E"/>
    <w:rsid w:val="00D93C84"/>
    <w:rsid w:val="00D957A9"/>
    <w:rsid w:val="00DA2D63"/>
    <w:rsid w:val="00DA7352"/>
    <w:rsid w:val="00DB3C53"/>
    <w:rsid w:val="00DB4517"/>
    <w:rsid w:val="00DC2A28"/>
    <w:rsid w:val="00DD054B"/>
    <w:rsid w:val="00DD087F"/>
    <w:rsid w:val="00DD13F6"/>
    <w:rsid w:val="00DD62BD"/>
    <w:rsid w:val="00DD69EC"/>
    <w:rsid w:val="00DE05B6"/>
    <w:rsid w:val="00DE32DE"/>
    <w:rsid w:val="00DE433E"/>
    <w:rsid w:val="00DE78CE"/>
    <w:rsid w:val="00DF1167"/>
    <w:rsid w:val="00DF3E87"/>
    <w:rsid w:val="00DF4374"/>
    <w:rsid w:val="00DF5A01"/>
    <w:rsid w:val="00E00F4F"/>
    <w:rsid w:val="00E017E8"/>
    <w:rsid w:val="00E02F74"/>
    <w:rsid w:val="00E034FD"/>
    <w:rsid w:val="00E10113"/>
    <w:rsid w:val="00E110F6"/>
    <w:rsid w:val="00E15901"/>
    <w:rsid w:val="00E20256"/>
    <w:rsid w:val="00E23A37"/>
    <w:rsid w:val="00E24324"/>
    <w:rsid w:val="00E262E5"/>
    <w:rsid w:val="00E27DC4"/>
    <w:rsid w:val="00E309EE"/>
    <w:rsid w:val="00E3170E"/>
    <w:rsid w:val="00E32031"/>
    <w:rsid w:val="00E321E0"/>
    <w:rsid w:val="00E3536A"/>
    <w:rsid w:val="00E4065C"/>
    <w:rsid w:val="00E40B61"/>
    <w:rsid w:val="00E4327E"/>
    <w:rsid w:val="00E4375C"/>
    <w:rsid w:val="00E438CB"/>
    <w:rsid w:val="00E442D7"/>
    <w:rsid w:val="00E45215"/>
    <w:rsid w:val="00E463FB"/>
    <w:rsid w:val="00E53D01"/>
    <w:rsid w:val="00E53E00"/>
    <w:rsid w:val="00E5435E"/>
    <w:rsid w:val="00E55AD2"/>
    <w:rsid w:val="00E61075"/>
    <w:rsid w:val="00E61968"/>
    <w:rsid w:val="00E64C74"/>
    <w:rsid w:val="00E660C2"/>
    <w:rsid w:val="00E66FAF"/>
    <w:rsid w:val="00E72C15"/>
    <w:rsid w:val="00E75769"/>
    <w:rsid w:val="00E75880"/>
    <w:rsid w:val="00E75D81"/>
    <w:rsid w:val="00E75E75"/>
    <w:rsid w:val="00E8059C"/>
    <w:rsid w:val="00E80FE7"/>
    <w:rsid w:val="00E80FF1"/>
    <w:rsid w:val="00E8141B"/>
    <w:rsid w:val="00E82CD2"/>
    <w:rsid w:val="00E83F68"/>
    <w:rsid w:val="00E87412"/>
    <w:rsid w:val="00E9083E"/>
    <w:rsid w:val="00E95BFC"/>
    <w:rsid w:val="00E9746B"/>
    <w:rsid w:val="00EA0009"/>
    <w:rsid w:val="00EA21F0"/>
    <w:rsid w:val="00EA318A"/>
    <w:rsid w:val="00EA3F17"/>
    <w:rsid w:val="00EA5B80"/>
    <w:rsid w:val="00EB1DAD"/>
    <w:rsid w:val="00EB4F6D"/>
    <w:rsid w:val="00EB5A39"/>
    <w:rsid w:val="00EB6B12"/>
    <w:rsid w:val="00EC00A0"/>
    <w:rsid w:val="00EC13DD"/>
    <w:rsid w:val="00EC1843"/>
    <w:rsid w:val="00EC3518"/>
    <w:rsid w:val="00EC5966"/>
    <w:rsid w:val="00ED04FF"/>
    <w:rsid w:val="00ED06BE"/>
    <w:rsid w:val="00ED0CB3"/>
    <w:rsid w:val="00ED36EF"/>
    <w:rsid w:val="00ED5FBE"/>
    <w:rsid w:val="00ED7966"/>
    <w:rsid w:val="00EE0504"/>
    <w:rsid w:val="00EE155A"/>
    <w:rsid w:val="00EE5227"/>
    <w:rsid w:val="00EE761B"/>
    <w:rsid w:val="00EE7EB7"/>
    <w:rsid w:val="00EF371D"/>
    <w:rsid w:val="00EF393B"/>
    <w:rsid w:val="00EF57B1"/>
    <w:rsid w:val="00EF5D88"/>
    <w:rsid w:val="00EF6550"/>
    <w:rsid w:val="00F0225F"/>
    <w:rsid w:val="00F02915"/>
    <w:rsid w:val="00F03C65"/>
    <w:rsid w:val="00F142A0"/>
    <w:rsid w:val="00F15E16"/>
    <w:rsid w:val="00F20E7C"/>
    <w:rsid w:val="00F232DD"/>
    <w:rsid w:val="00F23C6E"/>
    <w:rsid w:val="00F24012"/>
    <w:rsid w:val="00F248C4"/>
    <w:rsid w:val="00F25D46"/>
    <w:rsid w:val="00F27C82"/>
    <w:rsid w:val="00F33B73"/>
    <w:rsid w:val="00F42C74"/>
    <w:rsid w:val="00F600D3"/>
    <w:rsid w:val="00F60E92"/>
    <w:rsid w:val="00F6238C"/>
    <w:rsid w:val="00F654CD"/>
    <w:rsid w:val="00F67385"/>
    <w:rsid w:val="00F677F9"/>
    <w:rsid w:val="00F67DAC"/>
    <w:rsid w:val="00F700D7"/>
    <w:rsid w:val="00F71417"/>
    <w:rsid w:val="00F720F4"/>
    <w:rsid w:val="00F72231"/>
    <w:rsid w:val="00F7303B"/>
    <w:rsid w:val="00F748C5"/>
    <w:rsid w:val="00F77989"/>
    <w:rsid w:val="00F8078B"/>
    <w:rsid w:val="00F8202B"/>
    <w:rsid w:val="00F831E1"/>
    <w:rsid w:val="00F9221A"/>
    <w:rsid w:val="00F92F02"/>
    <w:rsid w:val="00F94599"/>
    <w:rsid w:val="00F9498B"/>
    <w:rsid w:val="00F9596A"/>
    <w:rsid w:val="00F9749F"/>
    <w:rsid w:val="00FA0621"/>
    <w:rsid w:val="00FA0BC2"/>
    <w:rsid w:val="00FA3760"/>
    <w:rsid w:val="00FA6083"/>
    <w:rsid w:val="00FA6FA9"/>
    <w:rsid w:val="00FA7D8A"/>
    <w:rsid w:val="00FB2016"/>
    <w:rsid w:val="00FB477A"/>
    <w:rsid w:val="00FC1A49"/>
    <w:rsid w:val="00FC2E09"/>
    <w:rsid w:val="00FC3408"/>
    <w:rsid w:val="00FC34EB"/>
    <w:rsid w:val="00FC359C"/>
    <w:rsid w:val="00FC4FAE"/>
    <w:rsid w:val="00FC516B"/>
    <w:rsid w:val="00FC7616"/>
    <w:rsid w:val="00FD2722"/>
    <w:rsid w:val="00FD4CD5"/>
    <w:rsid w:val="00FD5628"/>
    <w:rsid w:val="00FD5BCE"/>
    <w:rsid w:val="00FE0126"/>
    <w:rsid w:val="00FE6EC6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15"/>
  </w:style>
  <w:style w:type="paragraph" w:styleId="1">
    <w:name w:val="heading 1"/>
    <w:basedOn w:val="a"/>
    <w:link w:val="10"/>
    <w:uiPriority w:val="9"/>
    <w:qFormat/>
    <w:rsid w:val="00EC5966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596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966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596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C59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966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C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596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C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C596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C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C596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EC59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EC59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EC5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C5966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EC5966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EC5966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EC5966"/>
  </w:style>
  <w:style w:type="paragraph" w:styleId="21">
    <w:name w:val="Body Text Indent 2"/>
    <w:basedOn w:val="a"/>
    <w:link w:val="22"/>
    <w:uiPriority w:val="99"/>
    <w:semiHidden/>
    <w:unhideWhenUsed/>
    <w:rsid w:val="00EC59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96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C59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5966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C59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EC59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EC59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EC59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EC5966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EC596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EC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C59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EC59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EC59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EC5966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EC5966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EC59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EC5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C59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EC596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papdefault">
    <w:name w:val="msopapdefault"/>
    <w:basedOn w:val="a"/>
    <w:rsid w:val="00EC5966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EC5966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B678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6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BC6E-E581-4EBB-BB31-94ED27B0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5750</TotalTime>
  <Pages>18</Pages>
  <Words>7815</Words>
  <Characters>44549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1211</cp:revision>
  <cp:lastPrinted>2021-01-13T14:08:00Z</cp:lastPrinted>
  <dcterms:created xsi:type="dcterms:W3CDTF">2018-04-16T10:01:00Z</dcterms:created>
  <dcterms:modified xsi:type="dcterms:W3CDTF">2023-12-21T13:40:00Z</dcterms:modified>
</cp:coreProperties>
</file>