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B92758" w:rsidRPr="00B92758" w:rsidRDefault="00B92758" w:rsidP="00B9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оф.46  Тел. (48330) 2-11-45, 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B927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B92758" w:rsidRPr="00B92758" w:rsidRDefault="00B92758" w:rsidP="00B9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Контрольно-счетной палаты Суражского муниципального района</w:t>
      </w:r>
    </w:p>
    <w:p w:rsidR="000C4E50" w:rsidRPr="00E82FBE" w:rsidRDefault="000C4E50" w:rsidP="006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30598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CF685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CF685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B4C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B4C7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B4C7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073D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4E50" w:rsidRPr="00E82FBE" w:rsidRDefault="000C4E50" w:rsidP="000C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4E50" w:rsidRPr="0084768C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</w:t>
      </w:r>
      <w:r w:rsidR="00E82FBE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                      </w:t>
      </w:r>
      <w:r w:rsidR="00E9693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4C7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E969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B4C7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11941"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C4E50" w:rsidRPr="005D72ED" w:rsidRDefault="000C4E50" w:rsidP="000C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E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4E50" w:rsidRPr="00E767DC" w:rsidRDefault="000C4E50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C4E50" w:rsidRPr="00E767DC" w:rsidRDefault="007F45CC" w:rsidP="00A9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 w:rsidR="0073511D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0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830C2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236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0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C4E50" w:rsidRPr="00E767DC" w:rsidRDefault="000C4E5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937F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937F6" w:rsidRPr="00601B2C" w:rsidRDefault="00A937F6" w:rsidP="00A901EC">
      <w:pPr>
        <w:keepNext/>
        <w:spacing w:after="0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196199" w:rsidRDefault="00A937F6" w:rsidP="001961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4A144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установленному периоду в части 1 статьи 173 Бюджетного кодекса Российской Федерации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(далее -  Прогноз) разработан в </w:t>
      </w:r>
      <w:hyperlink r:id="rId10" w:history="1">
        <w:r w:rsidRPr="00601B2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</w:t>
      </w:r>
      <w:r w:rsidR="00196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</w:t>
      </w:r>
      <w:r w:rsidR="00FC2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05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9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4A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BC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601B2C" w:rsidRDefault="00196199" w:rsidP="007F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7F45CC" w:rsidRPr="007F45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анализа динамики ситуации в экономической и социальной сфере поселения, сценарных условий и основных макроэкономических показателей социально-экономического развития за предыдущие годы, ожидаемых итогов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F69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, целевых показателей, установленных Указами Президента Российской Федерации,</w:t>
      </w:r>
      <w:r w:rsidR="00A937F6" w:rsidRPr="00601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>а также с учетом эффекта от реализации антикризисных</w:t>
      </w:r>
      <w:proofErr w:type="gramEnd"/>
      <w:r w:rsidR="00A937F6" w:rsidRPr="00601B2C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поселения.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прогноза социально-экономического развития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5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>а осуществлялась по двум вариантам, с учетом перспектив восстановления роста экономики, а так же проводимой политики государства. В качестве основного принят вариант прогноза, который разработан в условиях сохранения рисков невысокого инвестиционного спроса, слабого роста потребительского спроса, медленного восстановления кредитной активности.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14 населенных пунктов, 2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AE316A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собственности</w:t>
      </w: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 (13 муниципальной формы собственности).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Названия населенных пунктов, входящих в поселение: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-села: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Нивное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Кромово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Высокоселище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Новый Дроков; </w:t>
      </w:r>
    </w:p>
    <w:p w:rsidR="00A937F6" w:rsidRPr="00601B2C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-деревни: Федоровка, Красное, Старый Дроков; </w:t>
      </w:r>
    </w:p>
    <w:p w:rsidR="00A937F6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-поселки: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Вьюнное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1B2C">
        <w:rPr>
          <w:rFonts w:ascii="Times New Roman" w:eastAsia="Times New Roman" w:hAnsi="Times New Roman" w:cs="Times New Roman"/>
          <w:sz w:val="24"/>
          <w:szCs w:val="24"/>
        </w:rPr>
        <w:t>Ковалевщина</w:t>
      </w:r>
      <w:proofErr w:type="spellEnd"/>
      <w:r w:rsidRPr="00601B2C">
        <w:rPr>
          <w:rFonts w:ascii="Times New Roman" w:eastAsia="Times New Roman" w:hAnsi="Times New Roman" w:cs="Times New Roman"/>
          <w:sz w:val="24"/>
          <w:szCs w:val="24"/>
        </w:rPr>
        <w:t>, Ясная Поляна, Красная Поляна, Гордый, Теплый, Александровский.</w:t>
      </w:r>
    </w:p>
    <w:p w:rsidR="00601B2C" w:rsidRPr="00601B2C" w:rsidRDefault="00601B2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площадь земель поселения 12070 га.</w:t>
      </w:r>
    </w:p>
    <w:p w:rsidR="00A937F6" w:rsidRPr="00AE316A" w:rsidRDefault="0013643D" w:rsidP="00A901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 селения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65F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составляла </w:t>
      </w:r>
      <w:r w:rsidR="004305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5F7">
        <w:rPr>
          <w:rFonts w:ascii="Times New Roman" w:eastAsia="Times New Roman" w:hAnsi="Times New Roman" w:cs="Times New Roman"/>
          <w:sz w:val="24"/>
          <w:szCs w:val="24"/>
        </w:rPr>
        <w:t>316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A937F6" w:rsidRPr="00AE316A" w:rsidRDefault="00A937F6" w:rsidP="00A901E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937F6" w:rsidRPr="00AE316A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A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  <w:r w:rsidR="001E3A0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экономически активного населения составляет </w:t>
      </w:r>
      <w:r w:rsidR="001565F7">
        <w:rPr>
          <w:rFonts w:ascii="Times New Roman" w:eastAsia="Times New Roman" w:hAnsi="Times New Roman" w:cs="Times New Roman"/>
          <w:sz w:val="24"/>
          <w:szCs w:val="24"/>
        </w:rPr>
        <w:t>652</w:t>
      </w:r>
      <w:r w:rsidR="001E3A02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1A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4-х крестьянско-фермерских хозяйств</w:t>
      </w:r>
      <w:r w:rsidR="00AE316A" w:rsidRPr="001A78E3">
        <w:rPr>
          <w:rFonts w:ascii="Times New Roman" w:eastAsia="Times New Roman" w:hAnsi="Times New Roman" w:cs="Times New Roman"/>
          <w:sz w:val="24"/>
          <w:szCs w:val="24"/>
        </w:rPr>
        <w:t>, ООО «Брянская мясная компания»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планируется в сельскохозяйственных предприятиях на воспроизводство стада КРС.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1A78E3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3000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A937F6" w:rsidRPr="001A78E3" w:rsidRDefault="00A937F6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8E3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на территории поселения обеспечивается </w:t>
      </w:r>
      <w:r w:rsidR="003000A8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1A78E3">
        <w:rPr>
          <w:rFonts w:ascii="Times New Roman" w:eastAsia="Times New Roman" w:hAnsi="Times New Roman" w:cs="Times New Roman"/>
          <w:sz w:val="24"/>
          <w:szCs w:val="24"/>
        </w:rPr>
        <w:t>. Для успешного развития экономики необходимо поддерживать сообщение между всеми населенными пунктами.</w:t>
      </w:r>
    </w:p>
    <w:p w:rsidR="00D334CF" w:rsidRPr="00E82FBE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проекта решения</w:t>
      </w:r>
      <w:r w:rsidR="0084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Брянской области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0C2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D334CF" w:rsidRPr="00E82FB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334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0511" w:rsidRDefault="00BE1C01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BE1C01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1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F45CC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="007F45CC" w:rsidRPr="007F45CC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РФ.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1.   Прогноз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2.    Пояснительная записка к проекту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3.   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758" w:rsidRPr="00D2290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4. Предварительные итоги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4209CC" w:rsidRPr="00D22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9 месяцев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29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ожидаемые </w:t>
      </w:r>
      <w:r w:rsidRPr="00D22902">
        <w:rPr>
          <w:rFonts w:ascii="Times New Roman" w:eastAsia="Times New Roman" w:hAnsi="Times New Roman" w:cs="Times New Roman"/>
          <w:spacing w:val="2"/>
          <w:sz w:val="24"/>
          <w:szCs w:val="24"/>
        </w:rPr>
        <w:t>итоги социально-экономического развития соответствующей территории за теку</w:t>
      </w:r>
      <w:r w:rsidRPr="00D22902">
        <w:rPr>
          <w:rFonts w:ascii="Times New Roman" w:eastAsia="Times New Roman" w:hAnsi="Times New Roman" w:cs="Times New Roman"/>
          <w:spacing w:val="-1"/>
          <w:sz w:val="24"/>
          <w:szCs w:val="24"/>
        </w:rPr>
        <w:t>щий финансовый год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02">
        <w:rPr>
          <w:rFonts w:ascii="Times New Roman" w:eastAsia="Times New Roman" w:hAnsi="Times New Roman" w:cs="Times New Roman"/>
          <w:sz w:val="24"/>
          <w:szCs w:val="24"/>
        </w:rPr>
        <w:t xml:space="preserve">5. Оценка ожидаемого исполнения 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2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8C" w:rsidRPr="00D2290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B8C">
        <w:rPr>
          <w:rFonts w:ascii="Times New Roman" w:eastAsia="Times New Roman" w:hAnsi="Times New Roman" w:cs="Times New Roman"/>
          <w:sz w:val="24"/>
          <w:szCs w:val="24"/>
        </w:rPr>
        <w:t>. Реестры источников доходов бюджетной системы РФ.</w:t>
      </w:r>
    </w:p>
    <w:p w:rsidR="00E42592" w:rsidRDefault="00A065D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42592" w:rsidRPr="00D22902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773371" w:rsidRPr="002440F8" w:rsidRDefault="00577CB5" w:rsidP="0057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40F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73371" w:rsidRPr="002440F8">
        <w:rPr>
          <w:rFonts w:ascii="Times New Roman" w:eastAsia="Times New Roman" w:hAnsi="Times New Roman" w:cs="Times New Roman"/>
          <w:sz w:val="24"/>
          <w:szCs w:val="24"/>
        </w:rPr>
        <w:t xml:space="preserve">Бюджетный прогноз на долгосрочный период </w:t>
      </w:r>
      <w:r w:rsidRPr="002440F8">
        <w:rPr>
          <w:rFonts w:ascii="Times New Roman" w:eastAsia="Times New Roman" w:hAnsi="Times New Roman" w:cs="Times New Roman"/>
          <w:sz w:val="24"/>
          <w:szCs w:val="24"/>
        </w:rPr>
        <w:t>до 202</w:t>
      </w:r>
      <w:r w:rsidR="00ED06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40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73371" w:rsidRPr="002440F8">
        <w:rPr>
          <w:rFonts w:ascii="Times New Roman" w:eastAsia="Times New Roman" w:hAnsi="Times New Roman" w:cs="Times New Roman"/>
          <w:sz w:val="24"/>
          <w:szCs w:val="24"/>
        </w:rPr>
        <w:t>(6 лет).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F04235" w:rsidRPr="00C8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64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C64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Pr="00C84B76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Федерации, Указа Президента Российской Федерации «О мероприятиях по реализации государственной социальной политики» и направлены на развитие экономики, социальной стабильности, повышения уровня собираемости собственных доходов</w:t>
      </w:r>
      <w:r w:rsidR="001C2499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постановлением от </w:t>
      </w:r>
      <w:r w:rsidR="00EC64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C2499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EC64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499">
        <w:rPr>
          <w:rFonts w:ascii="Times New Roman" w:eastAsia="Times New Roman" w:hAnsi="Times New Roman" w:cs="Times New Roman"/>
          <w:sz w:val="24"/>
          <w:szCs w:val="24"/>
        </w:rPr>
        <w:t xml:space="preserve"> года№ 4</w:t>
      </w:r>
      <w:r w:rsidR="00EC64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38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38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92758" w:rsidRPr="00C84B76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 w:rsidR="00085624">
        <w:rPr>
          <w:rFonts w:ascii="Times New Roman" w:eastAsia="Times New Roman" w:hAnsi="Times New Roman" w:cs="Times New Roman"/>
          <w:sz w:val="24"/>
          <w:szCs w:val="24"/>
        </w:rPr>
        <w:t>основных характеристик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утверждаемых в проекте бюджета </w:t>
      </w:r>
      <w:proofErr w:type="spellStart"/>
      <w:r w:rsidR="004209C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района: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4C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7D">
        <w:rPr>
          <w:rFonts w:ascii="Times New Roman" w:eastAsia="Times New Roman" w:hAnsi="Times New Roman" w:cs="Times New Roman"/>
          <w:sz w:val="24"/>
          <w:szCs w:val="24"/>
        </w:rPr>
        <w:t>2931,0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4C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7D">
        <w:rPr>
          <w:rFonts w:ascii="Times New Roman" w:eastAsia="Times New Roman" w:hAnsi="Times New Roman" w:cs="Times New Roman"/>
          <w:sz w:val="24"/>
          <w:szCs w:val="24"/>
        </w:rPr>
        <w:t>2931,0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4C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5A4EC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92758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5D2F8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559" w:rsidRPr="00994559" w:rsidRDefault="00994559" w:rsidP="00A901EC">
      <w:pPr>
        <w:pStyle w:val="af4"/>
        <w:numPr>
          <w:ilvl w:val="0"/>
          <w:numId w:val="5"/>
        </w:numPr>
        <w:spacing w:line="276" w:lineRule="auto"/>
        <w:ind w:left="1134" w:hanging="720"/>
        <w:jc w:val="both"/>
        <w:rPr>
          <w:rFonts w:ascii="Wingdings" w:hAnsi="Wingdings"/>
          <w:sz w:val="24"/>
          <w:szCs w:val="24"/>
        </w:rPr>
      </w:pPr>
      <w:r w:rsidRPr="00994559">
        <w:rPr>
          <w:sz w:val="24"/>
          <w:szCs w:val="24"/>
        </w:rPr>
        <w:t xml:space="preserve">проектом установлены основные характеристики бюджета </w:t>
      </w:r>
      <w:proofErr w:type="spellStart"/>
      <w:r w:rsidRPr="00994559">
        <w:rPr>
          <w:sz w:val="24"/>
          <w:szCs w:val="24"/>
        </w:rPr>
        <w:t>Нивнянского</w:t>
      </w:r>
      <w:proofErr w:type="spellEnd"/>
      <w:r w:rsidRPr="00994559">
        <w:rPr>
          <w:sz w:val="24"/>
          <w:szCs w:val="24"/>
        </w:rPr>
        <w:t xml:space="preserve"> сельского поселения  на </w:t>
      </w:r>
      <w:r w:rsidR="001960A6">
        <w:rPr>
          <w:sz w:val="24"/>
          <w:szCs w:val="24"/>
        </w:rPr>
        <w:t>202</w:t>
      </w:r>
      <w:r w:rsidR="001B4C7D">
        <w:rPr>
          <w:sz w:val="24"/>
          <w:szCs w:val="24"/>
        </w:rPr>
        <w:t>5</w:t>
      </w:r>
      <w:r w:rsidRPr="00994559">
        <w:rPr>
          <w:sz w:val="24"/>
          <w:szCs w:val="24"/>
        </w:rPr>
        <w:t>-</w:t>
      </w:r>
      <w:r w:rsidR="001960A6">
        <w:rPr>
          <w:sz w:val="24"/>
          <w:szCs w:val="24"/>
        </w:rPr>
        <w:t>202</w:t>
      </w:r>
      <w:r w:rsidR="001B4C7D">
        <w:rPr>
          <w:sz w:val="24"/>
          <w:szCs w:val="24"/>
        </w:rPr>
        <w:t>6</w:t>
      </w:r>
      <w:r w:rsidRPr="00994559">
        <w:rPr>
          <w:sz w:val="24"/>
          <w:szCs w:val="24"/>
        </w:rPr>
        <w:t xml:space="preserve"> годы</w:t>
      </w:r>
      <w:r w:rsidR="00271164">
        <w:rPr>
          <w:sz w:val="24"/>
          <w:szCs w:val="24"/>
        </w:rPr>
        <w:t>;</w:t>
      </w:r>
      <w:r w:rsidRPr="00994559">
        <w:rPr>
          <w:rFonts w:ascii="Wingdings" w:hAnsi="Wingdings"/>
          <w:sz w:val="24"/>
          <w:szCs w:val="24"/>
        </w:rPr>
        <w:t>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lastRenderedPageBreak/>
        <w:t>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B92758" w:rsidRPr="005D2F8F" w:rsidRDefault="00B92758" w:rsidP="00A901EC">
      <w:pPr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2F8F">
        <w:rPr>
          <w:rFonts w:ascii="Wingdings" w:eastAsia="Times New Roman" w:hAnsi="Wingdings" w:cs="Arial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  объемы межбюджетных трансфертов, получаемых из других бюджетов бюджетной системы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1690,0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413,8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92758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E2266F">
        <w:rPr>
          <w:rFonts w:ascii="Times New Roman" w:eastAsia="Times New Roman" w:hAnsi="Times New Roman" w:cs="Times New Roman"/>
          <w:sz w:val="24"/>
          <w:szCs w:val="24"/>
        </w:rPr>
        <w:t>427,9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>передаваемых поселением:</w:t>
      </w:r>
    </w:p>
    <w:p w:rsidR="00DD2F9C" w:rsidRPr="005D2F8F" w:rsidRDefault="00DD2F9C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1D2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33F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2F9C" w:rsidRPr="005D2F8F" w:rsidRDefault="00DD2F9C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33F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329A1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6125D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>года,  на 01.01.202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125D" w:rsidRPr="005D2F8F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Wingdings" w:eastAsia="Times New Roman" w:hAnsi="Wingdings" w:cs="Times New Roman"/>
          <w:sz w:val="24"/>
          <w:szCs w:val="24"/>
        </w:rPr>
        <w:t>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620D9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270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620D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B92758" w:rsidRPr="005D2F8F" w:rsidRDefault="00B92758" w:rsidP="00A901EC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1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9945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B92758" w:rsidRPr="005D2F8F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60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D2F8F">
        <w:rPr>
          <w:rFonts w:ascii="Times New Roman" w:eastAsia="Times New Roman" w:hAnsi="Times New Roman" w:cs="Times New Roman"/>
          <w:sz w:val="24"/>
          <w:szCs w:val="24"/>
        </w:rPr>
        <w:t>  и на плановый период не превышает установленное статьей 81 БК РФ ограничение 3,0% общего объема расходов.</w:t>
      </w:r>
    </w:p>
    <w:p w:rsidR="00B92758" w:rsidRDefault="005D2F8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9A9">
        <w:rPr>
          <w:rFonts w:ascii="Wingdings" w:eastAsia="Times New Roman" w:hAnsi="Wingdings" w:cs="Times New Roman"/>
          <w:sz w:val="24"/>
          <w:szCs w:val="24"/>
        </w:rPr>
        <w:t></w:t>
      </w:r>
      <w:r w:rsidRPr="00C819A9">
        <w:rPr>
          <w:rFonts w:ascii="Times New Roman" w:eastAsia="Times New Roman" w:hAnsi="Times New Roman" w:cs="Times New Roman"/>
          <w:sz w:val="24"/>
          <w:szCs w:val="24"/>
        </w:rPr>
        <w:t xml:space="preserve"> в проекте </w:t>
      </w:r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>превышающем</w:t>
      </w:r>
      <w:proofErr w:type="gramEnd"/>
      <w:r w:rsidR="00B92758" w:rsidRPr="00C819A9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C819A9" w:rsidRPr="00766982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перечень главных </w:t>
      </w:r>
      <w:proofErr w:type="gramStart"/>
      <w:r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Default="00C819A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Wingdings" w:eastAsia="Times New Roman" w:hAnsi="Wingdings" w:cs="Times New Roman"/>
          <w:sz w:val="24"/>
          <w:szCs w:val="24"/>
        </w:rPr>
        <w:t></w:t>
      </w:r>
      <w:r w:rsidRPr="00671F58">
        <w:rPr>
          <w:rFonts w:ascii="Wingdings" w:eastAsia="Times New Roman" w:hAnsi="Wingdings" w:cs="Times New Roman"/>
          <w:sz w:val="24"/>
          <w:szCs w:val="24"/>
        </w:rPr>
        <w:t>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8971EC">
        <w:rPr>
          <w:rFonts w:ascii="Times New Roman" w:eastAsia="Times New Roman" w:hAnsi="Times New Roman" w:cs="Times New Roman"/>
          <w:sz w:val="24"/>
          <w:szCs w:val="24"/>
        </w:rPr>
        <w:t>Нивнянским</w:t>
      </w:r>
      <w:proofErr w:type="spellEnd"/>
      <w:r w:rsidR="008971EC" w:rsidRPr="0067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 xml:space="preserve">сельским поселением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60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671F58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096859" w:rsidRDefault="008E60B9" w:rsidP="008E60B9">
      <w:pPr>
        <w:pStyle w:val="af4"/>
        <w:numPr>
          <w:ilvl w:val="0"/>
          <w:numId w:val="24"/>
        </w:numPr>
        <w:tabs>
          <w:tab w:val="left" w:pos="709"/>
        </w:tabs>
        <w:ind w:left="1134" w:hanging="425"/>
        <w:jc w:val="both"/>
        <w:rPr>
          <w:sz w:val="24"/>
          <w:szCs w:val="24"/>
        </w:rPr>
      </w:pPr>
      <w:r w:rsidRPr="009262EF">
        <w:rPr>
          <w:sz w:val="24"/>
          <w:szCs w:val="24"/>
        </w:rPr>
        <w:t xml:space="preserve">Объем </w:t>
      </w:r>
      <w:r w:rsidR="00096859" w:rsidRPr="009262EF">
        <w:rPr>
          <w:sz w:val="24"/>
          <w:szCs w:val="24"/>
        </w:rPr>
        <w:t>публичных нормативных обязательств.</w:t>
      </w:r>
    </w:p>
    <w:p w:rsidR="002C6C8F" w:rsidRPr="00AC1F61" w:rsidRDefault="00AE6247" w:rsidP="002C6C8F">
      <w:pPr>
        <w:tabs>
          <w:tab w:val="left" w:pos="709"/>
        </w:tabs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F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Проектом решения </w:t>
      </w:r>
      <w:proofErr w:type="spellStart"/>
      <w:r w:rsidRPr="00AC1F61">
        <w:rPr>
          <w:rFonts w:ascii="Times New Roman" w:eastAsia="Times New Roman" w:hAnsi="Times New Roman" w:cs="Times New Roman"/>
          <w:b/>
          <w:sz w:val="24"/>
          <w:szCs w:val="24"/>
        </w:rPr>
        <w:t>Нивнянского</w:t>
      </w:r>
      <w:proofErr w:type="spellEnd"/>
      <w:r w:rsidRPr="00AC1F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C6C8F" w:rsidRPr="00AC1F61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утверждены администраторы </w:t>
      </w:r>
      <w:r w:rsidR="002956B4" w:rsidRPr="00AC1F61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финансирования </w:t>
      </w:r>
      <w:r w:rsidR="002C6C8F" w:rsidRPr="00AC1F61">
        <w:rPr>
          <w:rFonts w:ascii="Times New Roman" w:eastAsia="Times New Roman" w:hAnsi="Times New Roman" w:cs="Times New Roman"/>
          <w:b/>
          <w:sz w:val="24"/>
          <w:szCs w:val="24"/>
        </w:rPr>
        <w:t>внутреннего дефицита бюджета</w:t>
      </w:r>
      <w:r w:rsidR="002956B4" w:rsidRPr="00AC1F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6C8F" w:rsidRPr="00AC1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2758" w:rsidRPr="00671F58" w:rsidRDefault="00B92758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поселения </w:t>
      </w:r>
    </w:p>
    <w:p w:rsidR="00B92758" w:rsidRPr="00671F58" w:rsidRDefault="00220C2B" w:rsidP="00A901EC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B92758" w:rsidRPr="00671F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7E74" w:rsidRDefault="00B92758" w:rsidP="00B9275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5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0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58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72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06"/>
        <w:gridCol w:w="866"/>
        <w:gridCol w:w="851"/>
        <w:gridCol w:w="850"/>
        <w:gridCol w:w="851"/>
        <w:gridCol w:w="821"/>
        <w:gridCol w:w="851"/>
        <w:gridCol w:w="850"/>
      </w:tblGrid>
      <w:tr w:rsidR="00271164" w:rsidRPr="00A96DDE" w:rsidTr="00AE51AE">
        <w:trPr>
          <w:trHeight w:val="25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2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71164"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1246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2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1246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2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1960A6" w:rsidP="001246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246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71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71164" w:rsidRPr="00A96DDE" w:rsidTr="00AE51AE">
        <w:trPr>
          <w:trHeight w:val="679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64" w:rsidRPr="00A96DDE" w:rsidRDefault="00271164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Pr="00AE51A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AE51AE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64" w:rsidRPr="00A96DDE" w:rsidRDefault="00271164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A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AE51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271164" w:rsidRPr="00A96DDE" w:rsidRDefault="00271164" w:rsidP="00AE51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1F301E" w:rsidRPr="00A96DDE" w:rsidTr="005A4765">
        <w:trPr>
          <w:trHeight w:val="256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1E" w:rsidRPr="00A96DDE" w:rsidRDefault="001F301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</w:tr>
      <w:tr w:rsidR="001F301E" w:rsidRPr="00A96DDE" w:rsidTr="005A4765">
        <w:trPr>
          <w:trHeight w:val="36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1E" w:rsidRPr="00A96DDE" w:rsidRDefault="001F301E" w:rsidP="002B494D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</w:tr>
      <w:tr w:rsidR="001F301E" w:rsidRPr="00A96DDE" w:rsidTr="005A4765">
        <w:trPr>
          <w:trHeight w:val="26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1E" w:rsidRPr="00A96DDE" w:rsidRDefault="001F301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1E" w:rsidRPr="001F301E" w:rsidRDefault="001F3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0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2758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676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2931,0</w:t>
      </w:r>
      <w:r w:rsidR="0054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1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оценки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3208,8</w:t>
      </w:r>
      <w:r w:rsidR="0028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52,3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B92758" w:rsidRPr="00D87F67" w:rsidRDefault="00B92758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2931,0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3226,7</w:t>
      </w:r>
      <w:r w:rsidR="0066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52,4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оценки объёма расходов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. Дефицит бюджета 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1C7A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676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бюджета  предусмотрен в сумме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1639,8</w:t>
      </w:r>
      <w:r w:rsidR="008D2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тыс. рублей, с у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 xml:space="preserve">предыдущему году по 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объему доходов 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 xml:space="preserve">и расходов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44,1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 xml:space="preserve"> сба</w:t>
      </w:r>
      <w:r w:rsidR="006945AB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624220">
        <w:rPr>
          <w:rFonts w:ascii="Times New Roman" w:eastAsia="Times New Roman" w:hAnsi="Times New Roman" w:cs="Times New Roman"/>
          <w:sz w:val="24"/>
          <w:szCs w:val="24"/>
        </w:rPr>
        <w:t>сирован</w:t>
      </w:r>
      <w:r w:rsidR="00712FDC" w:rsidRPr="00D8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220" w:rsidRPr="00D87F67" w:rsidRDefault="001960A6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F676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B92758" w:rsidRPr="00D8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  предусмотрен в сумме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1714,9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 xml:space="preserve"> к предыдущему году по объему доходов и расходов на </w:t>
      </w:r>
      <w:r w:rsidR="00F676E1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9A47F1" w:rsidRPr="009A47F1">
        <w:rPr>
          <w:rFonts w:ascii="Times New Roman" w:eastAsia="Times New Roman" w:hAnsi="Times New Roman" w:cs="Times New Roman"/>
          <w:sz w:val="24"/>
          <w:szCs w:val="24"/>
        </w:rPr>
        <w:t>%. Бюджет сбалансирован.</w:t>
      </w:r>
    </w:p>
    <w:p w:rsidR="00B92758" w:rsidRPr="001A7D01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D0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B92758" w:rsidRPr="00D87F67" w:rsidRDefault="00B92758" w:rsidP="00A901EC">
      <w:pPr>
        <w:shd w:val="clear" w:color="auto" w:fill="FFFFFF"/>
        <w:spacing w:after="0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D87F67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D87F67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B92758" w:rsidRPr="00D87F67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F2B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44E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6883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87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041"/>
        <w:gridCol w:w="1029"/>
        <w:gridCol w:w="1120"/>
        <w:gridCol w:w="740"/>
        <w:gridCol w:w="986"/>
        <w:gridCol w:w="804"/>
        <w:gridCol w:w="917"/>
        <w:gridCol w:w="740"/>
      </w:tblGrid>
      <w:tr w:rsidR="00446883" w:rsidRPr="00465637" w:rsidTr="00A9465F">
        <w:trPr>
          <w:trHeight w:val="285"/>
          <w:jc w:val="center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F2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446883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9F2B0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F2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9F2B0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F2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1960A6" w:rsidP="009F2B0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F2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4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E713F" w:rsidRPr="00465637" w:rsidTr="00A9465F">
        <w:trPr>
          <w:trHeight w:val="510"/>
          <w:jc w:val="center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883" w:rsidRPr="00465637" w:rsidRDefault="00446883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Pr="00052878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052878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83" w:rsidRPr="00465637" w:rsidRDefault="00446883" w:rsidP="002B49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878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052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446883" w:rsidRPr="00465637" w:rsidRDefault="00446883" w:rsidP="0005287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6F10B5" w:rsidRPr="00465637" w:rsidTr="00F538C2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B5" w:rsidRPr="00465637" w:rsidRDefault="006F10B5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-3208,8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104,6</w:t>
            </w:r>
          </w:p>
        </w:tc>
      </w:tr>
      <w:tr w:rsidR="006F10B5" w:rsidRPr="00465637" w:rsidTr="002F334E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B5" w:rsidRPr="00465637" w:rsidRDefault="006F10B5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105,2</w:t>
            </w:r>
          </w:p>
        </w:tc>
      </w:tr>
      <w:tr w:rsidR="006F10B5" w:rsidRPr="00465637" w:rsidTr="002F334E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B5" w:rsidRPr="00465637" w:rsidRDefault="006F10B5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F10B5" w:rsidRPr="00465637" w:rsidTr="002F334E">
        <w:trPr>
          <w:trHeight w:val="3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B5" w:rsidRPr="00465637" w:rsidRDefault="006F10B5" w:rsidP="002B494D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-3039,2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B5" w:rsidRPr="00693AC8" w:rsidRDefault="006F10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103,4</w:t>
            </w:r>
          </w:p>
        </w:tc>
      </w:tr>
    </w:tbl>
    <w:p w:rsidR="00EB58D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58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D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</w:t>
      </w:r>
      <w:r w:rsidR="00807251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B58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EB58DF">
        <w:rPr>
          <w:rFonts w:ascii="Times New Roman" w:eastAsia="Times New Roman" w:hAnsi="Times New Roman" w:cs="Times New Roman"/>
          <w:sz w:val="24"/>
          <w:szCs w:val="24"/>
        </w:rPr>
        <w:t>снижения всех доходных источников, а именно: на 64,3% безвозмездных поступлений, на 58,1% неналоговых доходов и  на 7,9% налоговых доходов.</w:t>
      </w:r>
    </w:p>
    <w:p w:rsidR="00931823" w:rsidRDefault="00EB58DF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плановом 2025 году ситуация со снижением доходных источников повторится. </w:t>
      </w:r>
      <w:r w:rsidR="00B92758"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766529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813563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</w:t>
      </w:r>
      <w:r w:rsidR="00B92758"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и в плановом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3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5,2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а безвозмездных поступлений на 3,4%</w:t>
      </w:r>
      <w:r w:rsidR="00895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5C372F" w:rsidRDefault="00B92758" w:rsidP="00A901E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E3E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E3E1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FA49BD" w:rsidRPr="005C372F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356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25C4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1045"/>
        <w:gridCol w:w="709"/>
        <w:gridCol w:w="1134"/>
        <w:gridCol w:w="798"/>
        <w:gridCol w:w="992"/>
        <w:gridCol w:w="709"/>
        <w:gridCol w:w="30"/>
      </w:tblGrid>
      <w:tr w:rsidR="001F796F" w:rsidRPr="00304924" w:rsidTr="005356D2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F796F" w:rsidRPr="00304924" w:rsidRDefault="001F796F" w:rsidP="00BE3E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E3E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E3E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E3E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E3E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E3E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BE3E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E3E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6F" w:rsidRPr="00304924" w:rsidRDefault="001F796F" w:rsidP="002B494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1F796F" w:rsidRPr="00304924" w:rsidRDefault="001F796F" w:rsidP="00CA6F6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96F" w:rsidRPr="00304924" w:rsidTr="005356D2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96F" w:rsidRPr="00304924" w:rsidRDefault="001F796F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1F796F" w:rsidRPr="00304924" w:rsidRDefault="001F796F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3AB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AB" w:rsidRPr="00B633AB" w:rsidRDefault="00B633AB" w:rsidP="00FF671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3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B633AB" w:rsidRPr="00304924" w:rsidRDefault="00B633AB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3AB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AB" w:rsidRPr="00304924" w:rsidRDefault="00B633AB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0" w:type="dxa"/>
            <w:vAlign w:val="center"/>
            <w:hideMark/>
          </w:tcPr>
          <w:p w:rsidR="00B633AB" w:rsidRPr="00304924" w:rsidRDefault="00B633AB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3AB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AB" w:rsidRPr="00304924" w:rsidRDefault="00B633AB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0" w:type="dxa"/>
            <w:vAlign w:val="center"/>
            <w:hideMark/>
          </w:tcPr>
          <w:p w:rsidR="00B633AB" w:rsidRPr="00304924" w:rsidRDefault="00B633AB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3AB" w:rsidRPr="00304924" w:rsidTr="00C03FCE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AB" w:rsidRPr="00304924" w:rsidRDefault="00B633AB" w:rsidP="002B494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B" w:rsidRPr="00B633AB" w:rsidRDefault="00B6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30" w:type="dxa"/>
            <w:vAlign w:val="center"/>
            <w:hideMark/>
          </w:tcPr>
          <w:p w:rsidR="00B633AB" w:rsidRPr="00304924" w:rsidRDefault="00B633AB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758" w:rsidRPr="003E4912" w:rsidRDefault="00B92758" w:rsidP="00A901EC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00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1960A6" w:rsidRPr="007B6F0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 w:rsidRPr="007B6F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7B6F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B6F00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 w:rsidR="00557D35" w:rsidRPr="007B6F00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</w:t>
      </w:r>
      <w:r w:rsidRPr="007B6F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57D35" w:rsidRPr="007B6F00">
        <w:rPr>
          <w:rFonts w:ascii="Times New Roman" w:eastAsia="Times New Roman" w:hAnsi="Times New Roman" w:cs="Times New Roman"/>
          <w:sz w:val="24"/>
          <w:szCs w:val="24"/>
        </w:rPr>
        <w:t>57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19,3</w:t>
      </w:r>
      <w:r w:rsidR="00D6096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, а 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оля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налоговых доходов составит 40,7%, увеличившись на 19,6 процентных пункта</w:t>
      </w:r>
      <w:proofErr w:type="gramStart"/>
      <w:r w:rsidR="00557D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57D3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F31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налоговы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составит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04924" w:rsidRPr="003E4912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54578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66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46F5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6646F5"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2758" w:rsidRPr="003E491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налоговые доходы – </w:t>
      </w:r>
      <w:r w:rsidR="0051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71,8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72,2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 xml:space="preserve"> %% соответственно</w:t>
      </w:r>
      <w:r w:rsidR="00521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структуре доходов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7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51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7D35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515CA2">
        <w:rPr>
          <w:rFonts w:ascii="Times New Roman" w:eastAsia="Times New Roman" w:hAnsi="Times New Roman" w:cs="Times New Roman"/>
          <w:sz w:val="24"/>
          <w:szCs w:val="24"/>
        </w:rPr>
        <w:t>%% соответственно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5CF3" w:rsidRPr="005D4C62" w:rsidRDefault="00B9275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C7F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D95C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1192,0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D4CA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11058" w:rsidRPr="00D9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за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D95C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101,6</w:t>
      </w:r>
      <w:r w:rsidRPr="00D95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766D6" w:rsidRPr="00D95C7F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7,9</w:t>
      </w:r>
      <w:r w:rsidR="000766D6" w:rsidRPr="005D4C6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. Темп роста налоговых доходов к предшествующему году 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>прогнозируется в размере</w:t>
      </w:r>
      <w:r w:rsidR="00B84F9F"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(-1,3)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5,2</w:t>
      </w:r>
      <w:r w:rsidR="00D75CF3" w:rsidRPr="005D4C62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FA0A73" w:rsidRPr="00D95C7F" w:rsidRDefault="00FA0A73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60A6" w:rsidRPr="005D4C6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занимает земельный налог </w:t>
      </w:r>
      <w:r w:rsidR="001E0EFA" w:rsidRPr="005D4C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5D8">
        <w:rPr>
          <w:rFonts w:ascii="Times New Roman" w:eastAsia="Times New Roman" w:hAnsi="Times New Roman" w:cs="Times New Roman"/>
          <w:sz w:val="24"/>
          <w:szCs w:val="24"/>
        </w:rPr>
        <w:t>78,4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F41BA2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5D4C6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2758" w:rsidRPr="0057233D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</w:t>
      </w:r>
      <w:r w:rsidR="0057233D"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015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015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015E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95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D0F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73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709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B465F5" w:rsidRPr="001223F6" w:rsidTr="005015EE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F1A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F1A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0D3D0E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465F5" w:rsidRPr="001223F6" w:rsidRDefault="001960A6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F1A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46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B465F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D0E" w:rsidRDefault="00B465F5" w:rsidP="00B465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B465F5" w:rsidRPr="001223F6" w:rsidRDefault="00B465F5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0F1A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B465F5" w:rsidRPr="001223F6" w:rsidTr="005015EE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F5" w:rsidRPr="001223F6" w:rsidRDefault="00B465F5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F5" w:rsidRPr="001223F6" w:rsidRDefault="00B465F5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0F1A78" w:rsidRPr="001223F6" w:rsidTr="005015EE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A78" w:rsidRPr="001223F6" w:rsidRDefault="000F1A78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0F1A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78" w:rsidRPr="001223F6" w:rsidRDefault="000F1A78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A00ACB" w:rsidRPr="001223F6" w:rsidTr="005015E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CB" w:rsidRPr="001223F6" w:rsidRDefault="00A00AC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105,2</w:t>
            </w:r>
          </w:p>
        </w:tc>
      </w:tr>
      <w:tr w:rsidR="00A00ACB" w:rsidRPr="001223F6" w:rsidTr="005015E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CB" w:rsidRPr="001223F6" w:rsidRDefault="00A00AC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ACB" w:rsidRPr="00A00ACB" w:rsidRDefault="000D3FAC" w:rsidP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0D3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111,6</w:t>
            </w:r>
          </w:p>
        </w:tc>
      </w:tr>
      <w:tr w:rsidR="00B84567" w:rsidRPr="001223F6" w:rsidTr="005015EE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67" w:rsidRPr="001223F6" w:rsidRDefault="00B845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B84567" w:rsidRPr="001223F6" w:rsidRDefault="00B845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0ACB" w:rsidRPr="001223F6" w:rsidTr="005015EE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CB" w:rsidRPr="001223F6" w:rsidRDefault="00A00AC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136,3</w:t>
            </w:r>
          </w:p>
        </w:tc>
      </w:tr>
      <w:tr w:rsidR="00A00ACB" w:rsidRPr="001223F6" w:rsidTr="005015EE">
        <w:trPr>
          <w:trHeight w:val="5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ACB" w:rsidRPr="001223F6" w:rsidRDefault="00A00ACB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B84567" w:rsidRPr="001223F6" w:rsidTr="005015E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67" w:rsidRPr="001223F6" w:rsidRDefault="00B84567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67" w:rsidRPr="00A00ACB" w:rsidRDefault="00B84567" w:rsidP="00E31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00ACB" w:rsidRPr="001223F6" w:rsidTr="005015E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CB" w:rsidRPr="001223F6" w:rsidRDefault="00A00ACB" w:rsidP="00687C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ACB" w:rsidRPr="00A00ACB" w:rsidRDefault="00A00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10445" w:rsidRPr="001223F6" w:rsidTr="005015E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5" w:rsidRPr="001223F6" w:rsidRDefault="00D1044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A00ACB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10445" w:rsidRPr="001223F6" w:rsidTr="005015E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5" w:rsidRPr="001223F6" w:rsidRDefault="00D10445" w:rsidP="003F11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A00ACB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10445" w:rsidRPr="001223F6" w:rsidTr="005015E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5" w:rsidRPr="001223F6" w:rsidRDefault="00D1044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A00ACB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D10445" w:rsidRPr="001223F6" w:rsidTr="005015E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45" w:rsidRPr="001223F6" w:rsidRDefault="00D10445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A00ACB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0A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45" w:rsidRPr="00D10445" w:rsidRDefault="00D104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4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</w:tbl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D0057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  прогнозируется в сумме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140,0</w:t>
      </w:r>
      <w:r w:rsid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 xml:space="preserve">12,0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907C3" w:rsidRPr="00D0057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806163" w:rsidRP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D005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а. Расчет доходов бюджета по налогу на доходы физических лиц произведен исходя из ожидаемой оценки поступления налога в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1A18" w:rsidRPr="00D0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1960A6" w:rsidRPr="00D0057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D0057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0576">
        <w:rPr>
          <w:rFonts w:ascii="Times New Roman" w:eastAsia="Times New Roman" w:hAnsi="Times New Roman" w:cs="Times New Roman"/>
          <w:sz w:val="24"/>
          <w:szCs w:val="24"/>
        </w:rPr>
        <w:t>, а так же норматива отчислений налога в бюджет. 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структуре собственных доходов бюджета на долю налога на доходы физических лиц  в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доходы физических лиц в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Pr="00A0709F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118,0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656AE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07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(-22,9)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36,3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сумме 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934,0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109,6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10,5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 xml:space="preserve">% ниже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2F444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78,4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92A00" w:rsidRDefault="00192A00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45D2" w:rsidRPr="006245D2"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</w:p>
    <w:p w:rsidR="00B92758" w:rsidRDefault="00B92758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24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2A00">
        <w:rPr>
          <w:rFonts w:ascii="Times New Roman" w:eastAsia="Times New Roman" w:hAnsi="Times New Roman" w:cs="Times New Roman"/>
          <w:sz w:val="24"/>
          <w:szCs w:val="24"/>
        </w:rPr>
        <w:t xml:space="preserve">данного источника </w:t>
      </w:r>
      <w:r w:rsidR="00331F81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A0709F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49,0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 xml:space="preserve"> на 68,0 тыс. рублей, или на 58,1% ниже 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5399D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CD42D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5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483A38">
        <w:rPr>
          <w:rFonts w:ascii="Times New Roman" w:eastAsia="Times New Roman" w:hAnsi="Times New Roman" w:cs="Times New Roman"/>
          <w:sz w:val="24"/>
          <w:szCs w:val="24"/>
        </w:rPr>
        <w:t>3,</w:t>
      </w:r>
      <w:r w:rsidR="00C879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5399D" w:rsidRPr="00A0709F" w:rsidRDefault="0025399D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 w:rsidR="00E00D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04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планируются в сумме 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>49,0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 xml:space="preserve">на 2,0 тыс. рублей, или на 3,9% ниже </w:t>
      </w:r>
      <w:r w:rsidR="009E489D" w:rsidRPr="009E489D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E489D" w:rsidRPr="009E489D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489D" w:rsidRPr="009E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70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CA7708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D4C8E">
        <w:rPr>
          <w:rFonts w:ascii="Times New Roman" w:eastAsia="Times New Roman" w:hAnsi="Times New Roman" w:cs="Times New Roman"/>
          <w:sz w:val="24"/>
          <w:szCs w:val="24"/>
        </w:rPr>
        <w:t>ы доходы запланированы в том же объеме.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13BF" w:rsidRDefault="0025399D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709F"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 w:rsidR="00CD42DE"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="00A0709F"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113BF">
        <w:rPr>
          <w:rFonts w:ascii="Times New Roman" w:eastAsia="Times New Roman" w:hAnsi="Times New Roman" w:cs="Times New Roman"/>
          <w:sz w:val="24"/>
          <w:szCs w:val="24"/>
        </w:rPr>
        <w:t xml:space="preserve">поступлений от данного источника не планируется. </w:t>
      </w:r>
    </w:p>
    <w:p w:rsidR="00804D97" w:rsidRPr="00B5384A" w:rsidRDefault="00804D9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4A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BF" w:rsidRPr="00B5384A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</w:p>
    <w:p w:rsidR="005D0EAE" w:rsidRPr="00B5384A" w:rsidRDefault="005D0EA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4A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60A6" w:rsidRPr="00B5384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B5384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сумме 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1690,0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 xml:space="preserve"> ниже</w:t>
      </w:r>
      <w:r w:rsidR="00462A13" w:rsidRPr="00B5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ожидаемого уровня исполнения бюджета </w:t>
      </w:r>
      <w:r w:rsidR="001960A6" w:rsidRPr="00B5384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 w:rsidRPr="00B5384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3039,0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 xml:space="preserve"> в 2,3 раза</w:t>
      </w:r>
      <w:r w:rsidR="002A689A" w:rsidRPr="00B538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3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1960A6" w:rsidRPr="00B5384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 w:rsidRPr="00B5384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3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57,7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572085" w:rsidRPr="00B5384A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 w:rsidRPr="00B5384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696845" w:rsidRPr="00B5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ED7" w:rsidRPr="00B538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6845" w:rsidRPr="00B538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75,5</w:t>
      </w:r>
      <w:r w:rsidR="00822ED7" w:rsidRPr="00B538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5384A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B5384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2758" w:rsidRPr="00DB38E6" w:rsidRDefault="00B92758" w:rsidP="00A901E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384A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</w:t>
      </w:r>
      <w:r w:rsidRPr="00DB38E6">
        <w:rPr>
          <w:rFonts w:ascii="Times New Roman" w:hAnsi="Times New Roman" w:cs="Times New Roman"/>
          <w:b/>
          <w:bCs/>
          <w:sz w:val="24"/>
          <w:szCs w:val="24"/>
        </w:rPr>
        <w:t xml:space="preserve"> поступлений</w:t>
      </w:r>
    </w:p>
    <w:p w:rsidR="00B92758" w:rsidRPr="00DB38E6" w:rsidRDefault="00B92758" w:rsidP="00A901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17D1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 плановом периоде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17D1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17D1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B92758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72A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804D97" w:rsidRPr="00967271" w:rsidTr="00F72A27">
        <w:trPr>
          <w:trHeight w:val="58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1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1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1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1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804D97" w:rsidRPr="00967271" w:rsidTr="00F72A27">
        <w:trPr>
          <w:trHeight w:val="25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97" w:rsidRPr="00967271" w:rsidRDefault="00804D97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97" w:rsidRPr="00967271" w:rsidRDefault="00804D9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F1347D" w:rsidRPr="00967271" w:rsidTr="00F72A27">
        <w:trPr>
          <w:trHeight w:val="67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47D" w:rsidRPr="00967271" w:rsidRDefault="00F1347D" w:rsidP="002B4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7D" w:rsidRPr="00967271" w:rsidRDefault="00F1347D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7D" w:rsidRPr="00967271" w:rsidRDefault="00F1347D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7D" w:rsidRPr="00967271" w:rsidRDefault="00F1347D" w:rsidP="00317D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7D" w:rsidRPr="00967271" w:rsidRDefault="00F1347D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476" w:rsidRDefault="00F1347D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  <w:p w:rsidR="00F1347D" w:rsidRPr="00967271" w:rsidRDefault="00F1347D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7D" w:rsidRPr="00967271" w:rsidRDefault="00F1347D" w:rsidP="00E31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BF425E" w:rsidRPr="00967271" w:rsidTr="00C03FCE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25E" w:rsidRPr="00967271" w:rsidRDefault="00BF425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4729,2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-3039,2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103,4</w:t>
            </w:r>
          </w:p>
        </w:tc>
      </w:tr>
      <w:tr w:rsidR="00BF425E" w:rsidRPr="00967271" w:rsidTr="00C03FCE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25E" w:rsidRPr="004133FC" w:rsidRDefault="00BF425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F425E" w:rsidRPr="00967271" w:rsidTr="00C03FCE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25E" w:rsidRPr="004133FC" w:rsidRDefault="00BF425E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2547,2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287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287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425E" w:rsidRPr="00967271" w:rsidTr="00C03FCE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25E" w:rsidRPr="004133FC" w:rsidRDefault="00BF425E" w:rsidP="00175D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25E" w:rsidRPr="00BF425E" w:rsidRDefault="00BF4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109,3</w:t>
            </w:r>
          </w:p>
        </w:tc>
      </w:tr>
    </w:tbl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</w:t>
      </w:r>
      <w:r w:rsidR="001A5B3D">
        <w:rPr>
          <w:rFonts w:ascii="Times New Roman" w:eastAsia="Times New Roman" w:hAnsi="Times New Roman" w:cs="Times New Roman"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–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91,8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7F46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в бюджете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1552,0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515,0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2F334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(-83,1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F6532E" w:rsidRPr="0084106A" w:rsidRDefault="00F6532E" w:rsidP="00A9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532E" w:rsidRDefault="00F6532E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 xml:space="preserve">262,0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74FBB" w:rsidRPr="0084106A" w:rsidRDefault="00874FBB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обеспечение мер по сбалансированности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290,0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2E" w:rsidRPr="0084106A" w:rsidRDefault="00F6532E" w:rsidP="00A901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23,0</w:t>
      </w:r>
      <w:r w:rsidR="00E6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 xml:space="preserve">% выше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744D1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субвенций в структуре безвозмездных поступлений составляет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D17AD1">
        <w:rPr>
          <w:rFonts w:ascii="Times New Roman" w:eastAsia="Times New Roman" w:hAnsi="Times New Roman" w:cs="Times New Roman"/>
          <w:sz w:val="24"/>
          <w:szCs w:val="24"/>
        </w:rPr>
        <w:t xml:space="preserve">плановом  периоде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B92758" w:rsidRPr="002B7003" w:rsidRDefault="00B92758" w:rsidP="00A901EC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B92758" w:rsidRPr="002B7003" w:rsidRDefault="00B92758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2025 и 2026 годов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2931,0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139,8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945C6B">
        <w:rPr>
          <w:rFonts w:ascii="Times New Roman" w:eastAsia="Times New Roman" w:hAnsi="Times New Roman" w:cs="Times New Roman"/>
          <w:sz w:val="24"/>
          <w:szCs w:val="24"/>
        </w:rPr>
        <w:t>1714,9</w:t>
      </w:r>
      <w:r w:rsidR="005D2975" w:rsidRPr="002B7003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</w:t>
      </w:r>
      <w:r w:rsidRPr="002B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758" w:rsidRPr="002B7003" w:rsidRDefault="00B92758" w:rsidP="00B9275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1960A6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960A6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45C6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 w:rsidRPr="002B7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92758" w:rsidRDefault="00B92758" w:rsidP="00B92758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7003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452E4A" w:rsidRPr="002B70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843" w:rsidRPr="002B7003">
        <w:rPr>
          <w:rFonts w:ascii="Times New Roman" w:eastAsia="Times New Roman" w:hAnsi="Times New Roman" w:cs="Times New Roman"/>
          <w:sz w:val="24"/>
          <w:szCs w:val="24"/>
        </w:rPr>
        <w:t>, тыс</w:t>
      </w:r>
      <w:r w:rsidR="00913843">
        <w:rPr>
          <w:rFonts w:ascii="Times New Roman" w:eastAsia="Times New Roman" w:hAnsi="Times New Roman" w:cs="Times New Roman"/>
          <w:sz w:val="24"/>
          <w:szCs w:val="24"/>
        </w:rPr>
        <w:t>. рублей</w:t>
      </w:r>
    </w:p>
    <w:tbl>
      <w:tblPr>
        <w:tblW w:w="929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F62727" w:rsidRPr="00632F94" w:rsidTr="00A9465F">
        <w:trPr>
          <w:trHeight w:val="99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F62727" w:rsidRPr="00632F94" w:rsidRDefault="00F62727" w:rsidP="00945C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45C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945C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45C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945C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45C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945C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45C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F62727" w:rsidRPr="00632F94" w:rsidTr="00A9465F">
        <w:trPr>
          <w:trHeight w:val="6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727" w:rsidRPr="00632F94" w:rsidRDefault="00F62727" w:rsidP="002B49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8A36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27" w:rsidRPr="00632F94" w:rsidRDefault="00F62727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54AFF" w:rsidRPr="00632F94" w:rsidTr="00DF03E3">
        <w:trPr>
          <w:trHeight w:val="4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1970,4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</w:tr>
      <w:tr w:rsidR="00B54AFF" w:rsidRPr="00632F94" w:rsidTr="00DF03E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B54AFF" w:rsidRPr="00632F94" w:rsidTr="00DF03E3">
        <w:trPr>
          <w:trHeight w:val="6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B54AFF" w:rsidRPr="00632F94" w:rsidTr="00DF03E3">
        <w:trPr>
          <w:trHeight w:val="25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B54AFF" w:rsidRPr="00632F94" w:rsidTr="00DF03E3">
        <w:trPr>
          <w:trHeight w:val="4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B54AFF" w:rsidRPr="00632F94" w:rsidTr="00DF03E3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B54AFF" w:rsidRPr="00632F94" w:rsidTr="00DF03E3">
        <w:trPr>
          <w:trHeight w:val="2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</w:tr>
      <w:tr w:rsidR="00B54AFF" w:rsidRPr="00632F94" w:rsidTr="00DF03E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AFF" w:rsidRPr="00632F94" w:rsidRDefault="00B54AFF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AFF" w:rsidRPr="00B54AFF" w:rsidRDefault="00B54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A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BB02F9" w:rsidRPr="003A33C7" w:rsidRDefault="00BB02F9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расходов бюджета </w:t>
      </w:r>
      <w:proofErr w:type="spellStart"/>
      <w:r w:rsidR="002F172A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расходы ра</w:t>
      </w:r>
      <w:r w:rsidR="000976C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дела 01 «О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бщегосударственные вопросы</w:t>
      </w:r>
      <w:r w:rsidR="00F56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30796">
        <w:rPr>
          <w:rFonts w:ascii="Times New Roman" w:eastAsia="Times New Roman" w:hAnsi="Times New Roman" w:cs="Times New Roman"/>
          <w:sz w:val="24"/>
          <w:szCs w:val="24"/>
        </w:rPr>
        <w:t xml:space="preserve">, которые занимают </w:t>
      </w:r>
      <w:r w:rsidR="00324DD1">
        <w:rPr>
          <w:rFonts w:ascii="Times New Roman" w:eastAsia="Times New Roman" w:hAnsi="Times New Roman" w:cs="Times New Roman"/>
          <w:sz w:val="24"/>
          <w:szCs w:val="24"/>
        </w:rPr>
        <w:t>67,6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DD1">
        <w:rPr>
          <w:rFonts w:ascii="Times New Roman" w:eastAsia="Times New Roman" w:hAnsi="Times New Roman" w:cs="Times New Roman"/>
          <w:sz w:val="24"/>
          <w:szCs w:val="24"/>
        </w:rPr>
        <w:t>80,8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24DD1">
        <w:rPr>
          <w:rFonts w:ascii="Times New Roman" w:eastAsia="Times New Roman" w:hAnsi="Times New Roman" w:cs="Times New Roman"/>
          <w:sz w:val="24"/>
          <w:szCs w:val="24"/>
        </w:rPr>
        <w:t>77,9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Второй по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объему расходов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раздел 03 «НАЦИОНАЛЬНАЯ БЕЗОПАСНОСТЬ И ПРАВООХРАНИТЕЛЬНАЯ ДЕЯТЕЛЬНОСТЬ» </w:t>
      </w:r>
      <w:r w:rsidR="00324DD1">
        <w:rPr>
          <w:rFonts w:ascii="Times New Roman" w:eastAsia="Times New Roman" w:hAnsi="Times New Roman" w:cs="Times New Roman"/>
          <w:sz w:val="24"/>
          <w:szCs w:val="24"/>
        </w:rPr>
        <w:t>- 19,5, 4,7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4DD1">
        <w:rPr>
          <w:rFonts w:ascii="Times New Roman" w:eastAsia="Times New Roman" w:hAnsi="Times New Roman" w:cs="Times New Roman"/>
          <w:sz w:val="24"/>
          <w:szCs w:val="24"/>
        </w:rPr>
        <w:t>4,5%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BB02F9" w:rsidRPr="00281997" w:rsidRDefault="00BB02F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проекте бюджета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занимают расходы по  разделу </w:t>
      </w:r>
      <w:r w:rsidR="00777BD8">
        <w:rPr>
          <w:rFonts w:ascii="Times New Roman" w:eastAsia="Times New Roman" w:hAnsi="Times New Roman" w:cs="Times New Roman"/>
          <w:sz w:val="24"/>
          <w:szCs w:val="24"/>
        </w:rPr>
        <w:t>04 «Национальная экономика»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, объем которых составляет </w:t>
      </w:r>
      <w:r w:rsidR="00777BD8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%. Объем расходов по отраслям так называемого «социального блока» (культура, социальная политика)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7B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>разделом 10 «</w:t>
      </w:r>
      <w:r w:rsidR="000202B0">
        <w:rPr>
          <w:rFonts w:ascii="Times New Roman" w:eastAsia="Times New Roman" w:hAnsi="Times New Roman" w:cs="Times New Roman"/>
          <w:sz w:val="24"/>
          <w:szCs w:val="24"/>
        </w:rPr>
        <w:t>Социальное обеспечение населения</w:t>
      </w:r>
      <w:r w:rsidR="007D3850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52B81">
        <w:rPr>
          <w:rFonts w:ascii="Times New Roman" w:eastAsia="Times New Roman" w:hAnsi="Times New Roman" w:cs="Times New Roman"/>
          <w:sz w:val="24"/>
          <w:szCs w:val="24"/>
        </w:rPr>
        <w:t>5,</w:t>
      </w:r>
      <w:r w:rsidR="00777B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33C7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B92758" w:rsidRPr="00281997" w:rsidRDefault="00B92758" w:rsidP="00B92758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175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175D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707DD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B92758" w:rsidRPr="00281997" w:rsidRDefault="00B92758" w:rsidP="00B92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02B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8"/>
        <w:tblW w:w="9636" w:type="dxa"/>
        <w:tblLayout w:type="fixed"/>
        <w:tblLook w:val="04A0" w:firstRow="1" w:lastRow="0" w:firstColumn="1" w:lastColumn="0" w:noHBand="0" w:noVBand="1"/>
      </w:tblPr>
      <w:tblGrid>
        <w:gridCol w:w="2093"/>
        <w:gridCol w:w="447"/>
        <w:gridCol w:w="752"/>
        <w:gridCol w:w="744"/>
        <w:gridCol w:w="739"/>
        <w:gridCol w:w="820"/>
        <w:gridCol w:w="678"/>
        <w:gridCol w:w="688"/>
        <w:gridCol w:w="588"/>
        <w:gridCol w:w="670"/>
        <w:gridCol w:w="709"/>
        <w:gridCol w:w="708"/>
      </w:tblGrid>
      <w:tr w:rsidR="0062761F" w:rsidRPr="00194ADD" w:rsidTr="00A9465F">
        <w:tc>
          <w:tcPr>
            <w:tcW w:w="2093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62761F" w:rsidRPr="009A6EB7" w:rsidRDefault="0062761F" w:rsidP="00DB32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DB3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DB3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DB3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820" w:type="dxa"/>
            <w:vMerge w:val="restart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960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DB3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54" w:type="dxa"/>
            <w:gridSpan w:val="3"/>
          </w:tcPr>
          <w:p w:rsidR="0062761F" w:rsidRPr="009A6EB7" w:rsidRDefault="0062761F" w:rsidP="00EB0D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62761F" w:rsidRPr="00194ADD" w:rsidTr="00A9465F">
        <w:tc>
          <w:tcPr>
            <w:tcW w:w="2093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62761F" w:rsidRPr="009A6EB7" w:rsidRDefault="0062761F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DB322B" w:rsidRPr="00194ADD" w:rsidTr="00A9465F">
        <w:tc>
          <w:tcPr>
            <w:tcW w:w="2093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DB322B" w:rsidRPr="009A6EB7" w:rsidRDefault="00DB322B" w:rsidP="002B494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DB322B" w:rsidRPr="009A6EB7" w:rsidRDefault="00DB322B" w:rsidP="001175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88" w:type="dxa"/>
          </w:tcPr>
          <w:p w:rsidR="00DB322B" w:rsidRPr="009A6EB7" w:rsidRDefault="00DB322B" w:rsidP="001175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88" w:type="dxa"/>
          </w:tcPr>
          <w:p w:rsidR="00DB322B" w:rsidRPr="009A6EB7" w:rsidRDefault="00DB322B" w:rsidP="001175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70" w:type="dxa"/>
          </w:tcPr>
          <w:p w:rsidR="00DB322B" w:rsidRPr="009A6EB7" w:rsidRDefault="00DB322B" w:rsidP="00E310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DB322B" w:rsidRPr="009A6EB7" w:rsidRDefault="00DB322B" w:rsidP="00E310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DB322B" w:rsidRPr="009A6EB7" w:rsidRDefault="00DB322B" w:rsidP="00E310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1970,4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1981,9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1325,1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-656,8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5D0A7B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1136,3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-565,6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-493,4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0F5163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-62,6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132,2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883CD2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199,2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-129,4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21B0C" w:rsidRPr="00194ADD" w:rsidTr="00A9465F">
        <w:tc>
          <w:tcPr>
            <w:tcW w:w="2093" w:type="dxa"/>
          </w:tcPr>
          <w:p w:rsidR="00321B0C" w:rsidRPr="00EE7144" w:rsidRDefault="00321B0C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321B0C" w:rsidRPr="00B33007" w:rsidRDefault="00321B0C" w:rsidP="000202B0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2573,0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-2573,0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E77F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208,1</w:t>
            </w:r>
          </w:p>
        </w:tc>
      </w:tr>
      <w:tr w:rsidR="00321B0C" w:rsidRPr="00194ADD" w:rsidTr="00A9465F">
        <w:tc>
          <w:tcPr>
            <w:tcW w:w="2093" w:type="dxa"/>
            <w:shd w:val="clear" w:color="auto" w:fill="FFFFFF" w:themeFill="background1"/>
          </w:tcPr>
          <w:p w:rsidR="00321B0C" w:rsidRPr="00EE7144" w:rsidRDefault="00321B0C" w:rsidP="002B494D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FFFFFF" w:themeFill="background1"/>
          </w:tcPr>
          <w:p w:rsidR="00321B0C" w:rsidRPr="00B33007" w:rsidRDefault="00321B0C" w:rsidP="002B494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6157,6</w:t>
            </w:r>
          </w:p>
        </w:tc>
        <w:tc>
          <w:tcPr>
            <w:tcW w:w="744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1639,8</w:t>
            </w:r>
          </w:p>
        </w:tc>
        <w:tc>
          <w:tcPr>
            <w:tcW w:w="820" w:type="dxa"/>
            <w:shd w:val="clear" w:color="auto" w:fill="C6D9F1" w:themeFill="text2" w:themeFillTint="33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1714,9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-3226,6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-1291,2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1B0C" w:rsidRPr="00321B0C" w:rsidRDefault="00321B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1B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104,6</w:t>
            </w:r>
          </w:p>
        </w:tc>
      </w:tr>
    </w:tbl>
    <w:p w:rsidR="00742217" w:rsidRPr="00C94F5C" w:rsidRDefault="00742217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По отношению к объему расходов, ожидаемому в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60A6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234DB3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C94F5C">
        <w:rPr>
          <w:rFonts w:ascii="Times New Roman" w:eastAsia="Times New Roman" w:hAnsi="Times New Roman" w:cs="Times New Roman"/>
          <w:spacing w:val="-2"/>
          <w:sz w:val="24"/>
          <w:szCs w:val="24"/>
        </w:rPr>
        <w:t>у расходы, определенные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 xml:space="preserve">3226,6 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52,4</w:t>
      </w:r>
      <w:r w:rsidRPr="00C94F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525FD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1981,6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11,5</w:t>
      </w:r>
      <w:r w:rsidR="00A73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0,6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1325,1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-656,8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-33,1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1335,9</w:t>
      </w:r>
      <w:r w:rsidR="00A7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10,8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525FD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0,8</w:t>
      </w:r>
      <w:r w:rsidR="003525FD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3525FD" w:rsidRPr="003525FD" w:rsidRDefault="0028199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67,6</w:t>
      </w:r>
      <w:r w:rsidR="003525FD"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1938,8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Pr="000B190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173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81997" w:rsidRPr="000B1907" w:rsidRDefault="0028199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7D2257" w:rsidRDefault="007D2257" w:rsidP="00A901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601"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5601"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 w:rsidR="001856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37,6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41A68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138,0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23,0</w:t>
      </w:r>
      <w:r w:rsidR="009F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20,0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151,8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53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13,8 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165,8</w:t>
      </w:r>
      <w:r w:rsidR="00B41A68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14,0</w:t>
      </w:r>
      <w:r w:rsidR="00B41A68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9,2</w:t>
      </w:r>
      <w:r w:rsidR="00B41A68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B41A68" w:rsidRPr="003525FD" w:rsidRDefault="00B41A68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FD6543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первичного воинского учета на территориях, где отсутствуют военные комиссариаты</w:t>
      </w:r>
      <w:r w:rsidR="00FD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43"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710C46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570,7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565,6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49,8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77,3</w:t>
      </w:r>
      <w:r w:rsidR="00071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A7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493,4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86,5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4DB3">
        <w:rPr>
          <w:rFonts w:ascii="Times New Roman" w:eastAsia="Times New Roman" w:hAnsi="Times New Roman" w:cs="Times New Roman"/>
          <w:sz w:val="24"/>
          <w:szCs w:val="24"/>
        </w:rPr>
        <w:t>77,3</w:t>
      </w:r>
      <w:r w:rsidR="003B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6"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10C46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4DB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710C46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710C46" w:rsidRPr="003525FD" w:rsidRDefault="00710C4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E3101D">
        <w:rPr>
          <w:rFonts w:ascii="Times New Roman" w:eastAsia="Times New Roman" w:hAnsi="Times New Roman" w:cs="Times New Roman"/>
          <w:sz w:val="24"/>
          <w:szCs w:val="24"/>
        </w:rPr>
        <w:t>19,5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4D25C3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A071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206F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A071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21EDF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A071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A071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D25C3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A071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B4185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294F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07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07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9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5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25C3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7301B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330B2D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D25C3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4D25C3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4D25C3" w:rsidRPr="003525FD" w:rsidRDefault="004D25C3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021E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20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0B1907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64467B" w:rsidRPr="00281997" w:rsidRDefault="007D2257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93,7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-69,1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-41,4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31,1</w:t>
      </w:r>
      <w:r w:rsidR="008F1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9A1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626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-66,8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B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0BAC">
        <w:rPr>
          <w:rFonts w:ascii="Times New Roman" w:eastAsia="Times New Roman" w:hAnsi="Times New Roman" w:cs="Times New Roman"/>
          <w:sz w:val="24"/>
          <w:szCs w:val="24"/>
        </w:rPr>
        <w:t>41,1</w:t>
      </w:r>
      <w:r w:rsidR="0064467B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64467B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906F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40BAC">
        <w:rPr>
          <w:rFonts w:ascii="Times New Roman" w:eastAsia="Calibri" w:hAnsi="Times New Roman" w:cs="Times New Roman"/>
          <w:sz w:val="24"/>
          <w:szCs w:val="24"/>
          <w:lang w:eastAsia="en-US"/>
        </w:rPr>
        <w:t>2,2</w:t>
      </w:r>
      <w:r w:rsidR="0064467B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64467B" w:rsidRPr="003525FD" w:rsidRDefault="0064467B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40BAC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D2257" w:rsidRPr="003F2812" w:rsidRDefault="007D2257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 w:rsidR="008F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39">
        <w:rPr>
          <w:rFonts w:ascii="Times New Roman" w:eastAsia="Times New Roman" w:hAnsi="Times New Roman" w:cs="Times New Roman"/>
          <w:sz w:val="24"/>
          <w:szCs w:val="24"/>
        </w:rPr>
        <w:t>75,6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9A1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содержание мест захоронения</w:t>
      </w:r>
      <w:r w:rsidR="00D9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39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D2257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прочие мероприятия по благоустройству</w:t>
      </w:r>
      <w:r w:rsidR="009F7439">
        <w:rPr>
          <w:rFonts w:ascii="Times New Roman" w:eastAsia="Times New Roman" w:hAnsi="Times New Roman" w:cs="Times New Roman"/>
          <w:sz w:val="24"/>
          <w:szCs w:val="24"/>
        </w:rPr>
        <w:t xml:space="preserve"> 7,9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472CE" w:rsidRPr="00281997" w:rsidRDefault="0075779D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</w:t>
      </w:r>
      <w:r w:rsidR="007D2257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>10 «Социальн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</w:t>
      </w:r>
      <w:r w:rsidR="007D2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145,6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</w:t>
      </w:r>
      <w:r w:rsidR="009826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-53,6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</w:t>
      </w:r>
      <w:r w:rsidR="009F5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-26,9%</w:t>
      </w:r>
      <w:r w:rsidR="009F5FF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16,2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F31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-129,4 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905BD6">
        <w:rPr>
          <w:rFonts w:ascii="Times New Roman" w:eastAsia="Calibri" w:hAnsi="Times New Roman" w:cs="Times New Roman"/>
          <w:sz w:val="24"/>
          <w:szCs w:val="24"/>
          <w:lang w:eastAsia="en-US"/>
        </w:rPr>
        <w:t>-88,9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Pr="003525FD" w:rsidRDefault="001960A6" w:rsidP="00A901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B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05BD6">
        <w:rPr>
          <w:rFonts w:ascii="Times New Roman" w:eastAsia="Times New Roman" w:hAnsi="Times New Roman" w:cs="Times New Roman"/>
          <w:sz w:val="24"/>
          <w:szCs w:val="24"/>
        </w:rPr>
        <w:t>16,2</w:t>
      </w:r>
      <w:r w:rsidR="001472CE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B630C9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472CE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1472CE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1472CE" w:rsidRDefault="001472CE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</w:t>
      </w:r>
      <w:r w:rsidR="00905BD6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83CD2" w:rsidRDefault="00883CD2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Данные расходы запланированы по подразделу </w:t>
      </w:r>
      <w:r>
        <w:rPr>
          <w:rFonts w:ascii="Times New Roman" w:eastAsia="Times New Roman" w:hAnsi="Times New Roman" w:cs="Times New Roman"/>
          <w:sz w:val="24"/>
          <w:szCs w:val="24"/>
        </w:rPr>
        <w:t>10 01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9" w:rsidRPr="00CB7E49">
        <w:rPr>
          <w:rFonts w:ascii="Times New Roman" w:eastAsia="Times New Roman" w:hAnsi="Times New Roman" w:cs="Times New Roman"/>
          <w:bCs/>
          <w:sz w:val="24"/>
          <w:szCs w:val="24"/>
        </w:rPr>
        <w:t>«Социальное обеспечение населения»</w:t>
      </w:r>
      <w:r w:rsidR="00CB7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предусмотрены на</w:t>
      </w:r>
      <w:r w:rsidR="00CB7E49">
        <w:rPr>
          <w:rFonts w:ascii="Times New Roman" w:eastAsia="Times New Roman" w:hAnsi="Times New Roman" w:cs="Times New Roman"/>
          <w:sz w:val="24"/>
          <w:szCs w:val="24"/>
        </w:rPr>
        <w:t xml:space="preserve"> выплату муниципальных пенсий.</w:t>
      </w:r>
    </w:p>
    <w:p w:rsidR="00831A2F" w:rsidRPr="008953E4" w:rsidRDefault="00831A2F" w:rsidP="00A901EC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0F0" w:rsidRDefault="00831A2F" w:rsidP="00A901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572085">
        <w:rPr>
          <w:rFonts w:ascii="Times New Roman" w:eastAsia="Times New Roman" w:hAnsi="Times New Roman" w:cs="Times New Roman"/>
          <w:sz w:val="24"/>
          <w:szCs w:val="24"/>
        </w:rPr>
        <w:t>2025-2026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7E05BE">
        <w:rPr>
          <w:rFonts w:ascii="Times New Roman" w:eastAsia="Times New Roman" w:hAnsi="Times New Roman" w:cs="Times New Roman"/>
          <w:sz w:val="24"/>
          <w:szCs w:val="24"/>
        </w:rPr>
        <w:t>3,7,2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E05BE">
        <w:rPr>
          <w:rFonts w:ascii="Times New Roman" w:eastAsia="Times New Roman" w:hAnsi="Times New Roman" w:cs="Times New Roman"/>
          <w:sz w:val="24"/>
          <w:szCs w:val="24"/>
        </w:rPr>
        <w:t xml:space="preserve">77,4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составляет 2,5 и 5,0%% от суммы общей расходов. </w:t>
      </w:r>
      <w:r w:rsidR="00D000F0">
        <w:rPr>
          <w:rFonts w:ascii="Times New Roman" w:eastAsia="Times New Roman" w:hAnsi="Times New Roman" w:cs="Times New Roman"/>
          <w:sz w:val="24"/>
          <w:szCs w:val="24"/>
        </w:rPr>
        <w:t>Ограничение п. 3 ст. 184.1 Бюджетного кодекса в части объема условно утверждаемых расходов  соблюдено.</w:t>
      </w:r>
    </w:p>
    <w:p w:rsidR="007D2257" w:rsidRPr="003F2812" w:rsidRDefault="007D2257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AAC">
        <w:rPr>
          <w:rFonts w:ascii="Times New Roman" w:eastAsia="Times New Roman" w:hAnsi="Times New Roman" w:cs="Times New Roman"/>
          <w:sz w:val="24"/>
          <w:szCs w:val="24"/>
        </w:rPr>
        <w:t>Нивнянская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DB6920" w:rsidRPr="00D52CA1" w:rsidRDefault="00DB692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666F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3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5C" w:rsidRPr="00833796">
        <w:rPr>
          <w:rFonts w:ascii="Times New Roman" w:eastAsia="Times New Roman" w:hAnsi="Times New Roman" w:cs="Times New Roman"/>
          <w:sz w:val="24"/>
          <w:szCs w:val="24"/>
        </w:rPr>
        <w:t>бюджет сбалансирован.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833796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утверждены источники внутреннего финансирования дефицита бюджета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– изменение остатков средств на счетах по учету средств бюджета.</w:t>
      </w:r>
    </w:p>
    <w:p w:rsidR="00DB6920" w:rsidRDefault="00DB6920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B92758" w:rsidRPr="00B1138D" w:rsidRDefault="00B92758" w:rsidP="00A901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>Нивнянского</w:t>
      </w:r>
      <w:proofErr w:type="spellEnd"/>
      <w:r w:rsidR="00D8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B11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BD5918" w:rsidRPr="008135F5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по программно-целевому принципу, предусматривающему формирование расходов исходя из целей, установленных </w:t>
      </w:r>
      <w:r w:rsidR="005878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</w:t>
      </w:r>
      <w:r w:rsidR="003C32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18" w:rsidRPr="0024017B" w:rsidRDefault="003C32E9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полномочий 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="00BD5918" w:rsidRPr="0024017B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BD5918" w:rsidRPr="0024017B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BD5918" w:rsidRPr="0024017B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</w:t>
      </w:r>
      <w:proofErr w:type="spellStart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141C40" w:rsidRPr="002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941" w:rsidRPr="0024017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4017B">
        <w:rPr>
          <w:rFonts w:ascii="Times New Roman" w:eastAsia="Times New Roman" w:hAnsi="Times New Roman" w:cs="Times New Roman"/>
          <w:sz w:val="24"/>
          <w:szCs w:val="24"/>
        </w:rPr>
        <w:t>ы».</w:t>
      </w:r>
    </w:p>
    <w:p w:rsidR="00141C40" w:rsidRPr="0024017B" w:rsidRDefault="00141C40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4017B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24017B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24017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поселения утвержден постановлением от 1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44CCD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6E2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C40" w:rsidRPr="00AE4564" w:rsidRDefault="00141C40" w:rsidP="00A90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6F31B6" w:rsidRDefault="00BD5918" w:rsidP="00A901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proofErr w:type="spellStart"/>
      <w:r w:rsidR="00D5157E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20C2B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08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у составляют </w:t>
      </w:r>
      <w:r w:rsidR="00E608AB">
        <w:rPr>
          <w:rFonts w:ascii="Times New Roman" w:eastAsia="Times New Roman" w:hAnsi="Times New Roman" w:cs="Times New Roman"/>
          <w:sz w:val="24"/>
          <w:szCs w:val="24"/>
        </w:rPr>
        <w:t>2925,5</w:t>
      </w:r>
      <w:r w:rsidR="0087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 xml:space="preserve">рублей, что  соответствует 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F03DC8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</w:t>
      </w:r>
      <w:r w:rsidR="006F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758" w:rsidRPr="00F03DC8" w:rsidRDefault="00B92758" w:rsidP="00B927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B92758" w:rsidRPr="00012EED" w:rsidRDefault="00B92758" w:rsidP="00B927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ED">
        <w:rPr>
          <w:rFonts w:ascii="Times New Roman" w:eastAsia="Times New Roman" w:hAnsi="Times New Roman" w:cs="Times New Roman"/>
          <w:sz w:val="24"/>
          <w:szCs w:val="24"/>
        </w:rPr>
        <w:t>9, тыс. рублей</w:t>
      </w:r>
    </w:p>
    <w:tbl>
      <w:tblPr>
        <w:tblW w:w="961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1103"/>
      </w:tblGrid>
      <w:tr w:rsidR="00012EED" w:rsidRPr="00F619E9" w:rsidTr="00413819">
        <w:trPr>
          <w:trHeight w:val="13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мое  </w:t>
            </w: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012EED" w:rsidRPr="00F619E9" w:rsidRDefault="00012EED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12EED" w:rsidRPr="00F619E9" w:rsidRDefault="001960A6" w:rsidP="00E608AB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60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E608AB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1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E60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119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ED" w:rsidRPr="00F619E9" w:rsidRDefault="00012EED" w:rsidP="002B494D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54F30" w:rsidRPr="00F619E9" w:rsidTr="00841B84">
        <w:trPr>
          <w:trHeight w:val="5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30" w:rsidRPr="00F619E9" w:rsidRDefault="00654F30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30" w:rsidRPr="00F619E9" w:rsidRDefault="00654F30" w:rsidP="00E608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-2689,0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45,2</w:t>
            </w:r>
          </w:p>
        </w:tc>
      </w:tr>
      <w:tr w:rsidR="00654F30" w:rsidRPr="00F619E9" w:rsidTr="00841B84">
        <w:trPr>
          <w:trHeight w:val="37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30" w:rsidRPr="00F619E9" w:rsidRDefault="00654F30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30" w:rsidRPr="00F619E9" w:rsidRDefault="00654F30" w:rsidP="00E608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654F30" w:rsidRPr="00F619E9" w:rsidTr="00841B84">
        <w:trPr>
          <w:trHeight w:val="48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30" w:rsidRPr="00F619E9" w:rsidRDefault="00654F30" w:rsidP="002B49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30" w:rsidRPr="005A50F7" w:rsidRDefault="00654F30" w:rsidP="005A50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пожарной безопасности </w:t>
            </w:r>
            <w:proofErr w:type="spellStart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Нивнянского</w:t>
            </w:r>
            <w:proofErr w:type="spellEnd"/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  <w:r w:rsidRPr="005A50F7">
              <w:rPr>
                <w:rFonts w:ascii="Times New Roman" w:eastAsia="Times New Roman" w:hAnsi="Times New Roman" w:cs="Times New Roman"/>
                <w:sz w:val="18"/>
                <w:szCs w:val="18"/>
              </w:rPr>
              <w:t>ы».</w:t>
            </w:r>
          </w:p>
          <w:p w:rsidR="00654F30" w:rsidRPr="00F619E9" w:rsidRDefault="00654F30" w:rsidP="00601B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</w:tr>
      <w:tr w:rsidR="00654F30" w:rsidRPr="00F619E9" w:rsidTr="00393A9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30" w:rsidRPr="00F619E9" w:rsidRDefault="00654F30" w:rsidP="002B49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30" w:rsidRPr="00F619E9" w:rsidRDefault="00654F30" w:rsidP="002B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-3231,6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30" w:rsidRPr="00654F30" w:rsidRDefault="00654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</w:tr>
    </w:tbl>
    <w:p w:rsidR="006F31B6" w:rsidRDefault="00D20456" w:rsidP="00A9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Программные расходы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3231,6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52,5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75,8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занимает программа «Реализация полномочий органов местного самоуправления </w:t>
      </w:r>
      <w:proofErr w:type="spellStart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F31B6" w:rsidRPr="006F31B6">
        <w:rPr>
          <w:rFonts w:ascii="Times New Roman" w:eastAsia="Times New Roman" w:hAnsi="Times New Roman" w:cs="Times New Roman"/>
          <w:sz w:val="24"/>
          <w:szCs w:val="24"/>
        </w:rPr>
        <w:t>гг.»</w:t>
      </w:r>
      <w:r w:rsidR="00493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0DB" w:rsidRPr="00D77815" w:rsidRDefault="002B70DB" w:rsidP="00A90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12EED" w:rsidRPr="00937CD9" w:rsidRDefault="00587870" w:rsidP="00A901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19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D445F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 w:rsidR="00423157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012EED"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33A" w:rsidRDefault="009D133A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851E41" w:rsidRPr="00AB1365" w:rsidRDefault="00851E41" w:rsidP="009D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D51" w:rsidRDefault="00275D51" w:rsidP="00275D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proofErr w:type="spellStart"/>
      <w:r w:rsidRPr="00BE1C01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BE1C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внесен в Контрольно-счётную палату Суражского муниципального района 1</w:t>
      </w:r>
      <w:r w:rsidR="009563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C0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Pr="007F45CC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РФ.</w:t>
      </w:r>
    </w:p>
    <w:p w:rsidR="00F94396" w:rsidRDefault="00893D35" w:rsidP="00C76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установленному периоду в части 1 статьи 173 Бюджетного кодекса Российской Федерации. Прогноз социально-экономического 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развития </w:t>
      </w:r>
      <w:proofErr w:type="spellStart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7A58C5">
        <w:rPr>
          <w:rFonts w:ascii="Times New Roman" w:eastAsia="Times New Roman" w:hAnsi="Times New Roman" w:cs="Times New Roman"/>
          <w:sz w:val="24"/>
          <w:szCs w:val="24"/>
        </w:rPr>
        <w:t>2024 - 2026 годы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(далее -  Прогноз) разработан в порядке, установленном постановлением </w:t>
      </w:r>
      <w:proofErr w:type="spellStart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 Суражского района от 22.07.2016 г. №74/1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период». В соответствии с частью 3 статьи 173 Бюджетного кодекса Российской Федерации Прогноз был утвержден постановлением </w:t>
      </w:r>
      <w:proofErr w:type="spellStart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 14.11.202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9439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4396" w:rsidRPr="00F943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0D1" w:rsidRPr="00601B2C" w:rsidRDefault="007570D1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2C">
        <w:rPr>
          <w:rFonts w:ascii="Times New Roman" w:eastAsia="Times New Roman" w:hAnsi="Times New Roman" w:cs="Times New Roman"/>
          <w:sz w:val="24"/>
          <w:szCs w:val="24"/>
        </w:rPr>
        <w:t>В соответствии с п. 4 ст. 173 БК РФ в пояснительной записке к прогнозу социально-экономического развития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21EC7" w:rsidRDefault="00321EC7" w:rsidP="0075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4B7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B4B2A" w:rsidRPr="00DE247E" w:rsidRDefault="00FB4B2A" w:rsidP="00FB4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47E">
        <w:rPr>
          <w:rFonts w:ascii="Times New Roman" w:hAnsi="Times New Roman" w:cs="Times New Roman"/>
          <w:sz w:val="24"/>
          <w:szCs w:val="24"/>
        </w:rPr>
        <w:t>Соблюдена ст. 184.2 Бюджетного Кодекса РФ в части представленных одновременно с проектом бюджета документов.</w:t>
      </w:r>
    </w:p>
    <w:p w:rsidR="00C768D8" w:rsidRDefault="00096859" w:rsidP="002B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9D44B0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атья 184.1 БК РФ в части состава основных характеристик, утверждаемых в проекте бюджета </w:t>
      </w:r>
      <w:proofErr w:type="spellStart"/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>Нивнянского</w:t>
      </w:r>
      <w:proofErr w:type="spellEnd"/>
      <w:r w:rsidR="00321EC7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Суражского района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исполнена не в полном объеме</w:t>
      </w:r>
      <w:r w:rsidR="0054151B"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Pr="005B64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768D8" w:rsidRPr="00C768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Проектом решения </w:t>
      </w:r>
      <w:proofErr w:type="spellStart"/>
      <w:r w:rsidR="00C768D8" w:rsidRPr="00C768D8">
        <w:rPr>
          <w:rFonts w:ascii="Times New Roman" w:eastAsia="Times New Roman" w:hAnsi="Times New Roman" w:cs="Times New Roman"/>
          <w:b/>
          <w:i/>
          <w:sz w:val="24"/>
          <w:szCs w:val="24"/>
        </w:rPr>
        <w:t>Нивнянского</w:t>
      </w:r>
      <w:proofErr w:type="spellEnd"/>
      <w:r w:rsidR="00C768D8" w:rsidRPr="00C768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не утвержден </w:t>
      </w:r>
      <w:r w:rsidR="008D1B18" w:rsidRPr="008D1B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перечень главных администраторов источников финансирования дефицита бюджета</w:t>
      </w:r>
      <w:r w:rsidR="008D1B1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13FE" w:rsidRPr="00D52CA1" w:rsidRDefault="009D44B0" w:rsidP="002B1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68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0F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 xml:space="preserve"> бюджет сбалансирован. 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2B13F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B13FE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</w:t>
      </w:r>
      <w:r w:rsidR="002B13FE" w:rsidRPr="00D52CA1">
        <w:rPr>
          <w:rFonts w:ascii="Times New Roman" w:eastAsia="Times New Roman" w:hAnsi="Times New Roman" w:cs="Times New Roman"/>
          <w:sz w:val="24"/>
          <w:szCs w:val="24"/>
        </w:rPr>
        <w:t>– изменение остатков средств на счетах по учету средств бюджета.</w:t>
      </w:r>
    </w:p>
    <w:p w:rsidR="002B13FE" w:rsidRDefault="002B13FE" w:rsidP="0053013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  <w:r w:rsidR="005301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F3F" w:rsidRPr="008E4744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923F3F" w:rsidRDefault="00923F3F" w:rsidP="0092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353B2B" w:rsidRDefault="00353B2B" w:rsidP="00353B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2,5 и 5,0%% от суммы общей расходов. Ограничение п. 3 ст. 184.1 Бюджетного кодекса в части объема условно утверждаемых расходов  соблюдено.</w:t>
      </w:r>
    </w:p>
    <w:p w:rsidR="00611054" w:rsidRPr="005D2F8F" w:rsidRDefault="00611054" w:rsidP="00611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8F">
        <w:rPr>
          <w:rFonts w:ascii="Times New Roman" w:eastAsia="Times New Roman" w:hAnsi="Times New Roman" w:cs="Times New Roman"/>
          <w:sz w:val="24"/>
          <w:szCs w:val="24"/>
        </w:rPr>
        <w:t>Размер резервного фонда в проекте бюджета не превышает установленное статьей 81 БК РФ ограничение 3,0% общего объема расходов.</w:t>
      </w:r>
    </w:p>
    <w:p w:rsidR="006A1440" w:rsidRPr="008135F5" w:rsidRDefault="006A1440" w:rsidP="006A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35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7E5A14" w:rsidRPr="00AE4564" w:rsidRDefault="007E5A14" w:rsidP="007E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Нивнянском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AE4564">
        <w:rPr>
          <w:rFonts w:ascii="Times New Roman" w:eastAsia="Times New Roman" w:hAnsi="Times New Roman" w:cs="Times New Roman"/>
          <w:sz w:val="24"/>
          <w:szCs w:val="24"/>
        </w:rPr>
        <w:t>Нивнянской</w:t>
      </w:r>
      <w:proofErr w:type="spellEnd"/>
      <w:r w:rsidRPr="00AE456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18.10.2016 года №90/1 «Об утверждении порядка разработки, реализации и оценки эффективности муниципальных программ». 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поселения утвержден постановлением от 1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г. №5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0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A14" w:rsidRPr="00AE4564" w:rsidRDefault="007E5A14" w:rsidP="007E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64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B11CCD" w:rsidRPr="00D77815" w:rsidRDefault="00B11CCD" w:rsidP="00B1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605C5F" w:rsidRPr="00937CD9" w:rsidRDefault="00605C5F" w:rsidP="00605C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1960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1B1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ABB" w:rsidRPr="00146461" w:rsidRDefault="00AB53B7" w:rsidP="001464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D3" w:rsidRPr="001464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67ABB" w:rsidRPr="0014646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A949F1" w:rsidRPr="00146461" w:rsidRDefault="00067ABB" w:rsidP="00146461">
      <w:pPr>
        <w:pStyle w:val="af4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146461">
        <w:rPr>
          <w:sz w:val="24"/>
          <w:szCs w:val="24"/>
        </w:rPr>
        <w:t xml:space="preserve">Считать обязательства по финансовому обеспечению Указов Президента Российской Федерации первоочередными при принятии решений о внесении  изменений в решение </w:t>
      </w:r>
      <w:r w:rsidR="00A949F1" w:rsidRPr="00146461">
        <w:rPr>
          <w:bCs/>
          <w:sz w:val="24"/>
          <w:szCs w:val="24"/>
        </w:rPr>
        <w:t xml:space="preserve">«О бюджете </w:t>
      </w:r>
      <w:proofErr w:type="spellStart"/>
      <w:r w:rsidR="00A949F1" w:rsidRPr="00146461">
        <w:rPr>
          <w:bCs/>
          <w:sz w:val="24"/>
          <w:szCs w:val="24"/>
        </w:rPr>
        <w:t>Нивнянского</w:t>
      </w:r>
      <w:proofErr w:type="spellEnd"/>
      <w:r w:rsidR="00A949F1" w:rsidRPr="00146461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220C2B">
        <w:rPr>
          <w:bCs/>
          <w:sz w:val="24"/>
          <w:szCs w:val="24"/>
        </w:rPr>
        <w:t>на 2024 год и на плановый период 2025 и 2026 годов</w:t>
      </w:r>
      <w:r w:rsidR="00A949F1" w:rsidRPr="00146461">
        <w:rPr>
          <w:bCs/>
          <w:sz w:val="24"/>
          <w:szCs w:val="24"/>
        </w:rPr>
        <w:t>».</w:t>
      </w:r>
    </w:p>
    <w:p w:rsidR="00012EED" w:rsidRDefault="00067ABB" w:rsidP="00146461">
      <w:pPr>
        <w:pStyle w:val="af4"/>
        <w:numPr>
          <w:ilvl w:val="0"/>
          <w:numId w:val="23"/>
        </w:numPr>
        <w:jc w:val="both"/>
        <w:rPr>
          <w:sz w:val="24"/>
          <w:szCs w:val="24"/>
        </w:rPr>
      </w:pPr>
      <w:r w:rsidRPr="00146461">
        <w:rPr>
          <w:sz w:val="24"/>
          <w:szCs w:val="24"/>
        </w:rPr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</w:p>
    <w:p w:rsidR="00EC4099" w:rsidRDefault="00EC4099" w:rsidP="008D1B18">
      <w:pPr>
        <w:pStyle w:val="af4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в соответствие проект Решения в части отражения в нем </w:t>
      </w:r>
      <w:r w:rsidR="008D1B18" w:rsidRPr="008D1B18">
        <w:rPr>
          <w:sz w:val="24"/>
          <w:szCs w:val="24"/>
        </w:rPr>
        <w:t>перечн</w:t>
      </w:r>
      <w:r w:rsidR="008D1B18">
        <w:rPr>
          <w:sz w:val="24"/>
          <w:szCs w:val="24"/>
        </w:rPr>
        <w:t>я</w:t>
      </w:r>
      <w:r w:rsidR="008D1B18" w:rsidRPr="008D1B18">
        <w:rPr>
          <w:sz w:val="24"/>
          <w:szCs w:val="24"/>
        </w:rPr>
        <w:t xml:space="preserve"> главных </w:t>
      </w:r>
      <w:proofErr w:type="gramStart"/>
      <w:r w:rsidR="008D1B18" w:rsidRPr="008D1B18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8D1B18">
        <w:rPr>
          <w:sz w:val="24"/>
          <w:szCs w:val="24"/>
        </w:rPr>
        <w:t>.</w:t>
      </w:r>
    </w:p>
    <w:p w:rsidR="00B92758" w:rsidRPr="00EC4099" w:rsidRDefault="008D1B18" w:rsidP="00EC4099">
      <w:pPr>
        <w:pStyle w:val="af4"/>
        <w:numPr>
          <w:ilvl w:val="0"/>
          <w:numId w:val="23"/>
        </w:numPr>
        <w:ind w:firstLine="65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bookmarkStart w:id="0" w:name="_GoBack"/>
      <w:bookmarkEnd w:id="0"/>
      <w:r w:rsidR="00B92758" w:rsidRPr="00EC4099">
        <w:rPr>
          <w:bCs/>
          <w:sz w:val="24"/>
          <w:szCs w:val="24"/>
        </w:rPr>
        <w:t xml:space="preserve">онтрольно-счетная палата Суражского муниципального района предлагает </w:t>
      </w:r>
      <w:proofErr w:type="spellStart"/>
      <w:r w:rsidR="00DF7A51" w:rsidRPr="00EC4099">
        <w:rPr>
          <w:bCs/>
          <w:sz w:val="24"/>
          <w:szCs w:val="24"/>
        </w:rPr>
        <w:t>Нивнянскому</w:t>
      </w:r>
      <w:proofErr w:type="spellEnd"/>
      <w:r w:rsidR="00B92758" w:rsidRPr="00EC4099">
        <w:rPr>
          <w:bCs/>
          <w:sz w:val="24"/>
          <w:szCs w:val="24"/>
        </w:rPr>
        <w:t xml:space="preserve"> сельскому Совету народных  депутатов проект </w:t>
      </w:r>
      <w:r w:rsidR="00307911" w:rsidRPr="00EC4099">
        <w:rPr>
          <w:bCs/>
          <w:sz w:val="24"/>
          <w:szCs w:val="24"/>
        </w:rPr>
        <w:t>Р</w:t>
      </w:r>
      <w:r w:rsidR="00B92758" w:rsidRPr="00EC4099">
        <w:rPr>
          <w:bCs/>
          <w:sz w:val="24"/>
          <w:szCs w:val="24"/>
        </w:rPr>
        <w:t xml:space="preserve">ешения </w:t>
      </w:r>
      <w:r w:rsidR="00A949F1" w:rsidRPr="00EC4099">
        <w:rPr>
          <w:bCs/>
          <w:sz w:val="24"/>
          <w:szCs w:val="24"/>
        </w:rPr>
        <w:t xml:space="preserve">«О бюджете </w:t>
      </w:r>
      <w:proofErr w:type="spellStart"/>
      <w:r w:rsidR="00A949F1" w:rsidRPr="00EC4099">
        <w:rPr>
          <w:bCs/>
          <w:sz w:val="24"/>
          <w:szCs w:val="24"/>
        </w:rPr>
        <w:t>Нивнянского</w:t>
      </w:r>
      <w:proofErr w:type="spellEnd"/>
      <w:r w:rsidR="00A949F1" w:rsidRPr="00EC4099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 </w:t>
      </w:r>
      <w:r w:rsidR="00220C2B">
        <w:rPr>
          <w:bCs/>
          <w:sz w:val="24"/>
          <w:szCs w:val="24"/>
        </w:rPr>
        <w:t>на 2024 год и на плановый период 2025 и 2026 годов</w:t>
      </w:r>
      <w:r w:rsidR="00A949F1" w:rsidRPr="00EC4099">
        <w:rPr>
          <w:bCs/>
          <w:sz w:val="24"/>
          <w:szCs w:val="24"/>
        </w:rPr>
        <w:t xml:space="preserve">» </w:t>
      </w:r>
      <w:r w:rsidR="00307911" w:rsidRPr="00EC4099">
        <w:rPr>
          <w:sz w:val="24"/>
          <w:szCs w:val="24"/>
        </w:rPr>
        <w:t xml:space="preserve"> </w:t>
      </w:r>
      <w:r w:rsidR="00AF4E1F" w:rsidRPr="00EC4099">
        <w:rPr>
          <w:sz w:val="24"/>
          <w:szCs w:val="24"/>
        </w:rPr>
        <w:t>к рассмотрению</w:t>
      </w:r>
      <w:r w:rsidR="00EC4099">
        <w:rPr>
          <w:sz w:val="24"/>
          <w:szCs w:val="24"/>
        </w:rPr>
        <w:t xml:space="preserve"> после приведения в соответствие</w:t>
      </w:r>
      <w:r w:rsidR="00CC0915" w:rsidRPr="00EC4099">
        <w:rPr>
          <w:sz w:val="24"/>
          <w:szCs w:val="24"/>
        </w:rPr>
        <w:t>.</w:t>
      </w:r>
    </w:p>
    <w:p w:rsidR="00B92758" w:rsidRPr="00B92758" w:rsidRDefault="00B92758" w:rsidP="000B340E">
      <w:pPr>
        <w:tabs>
          <w:tab w:val="left" w:pos="80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5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B340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FA38F2" w:rsidRPr="001B6A93" w:rsidRDefault="00FA38F2" w:rsidP="00FA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B92758" w:rsidRPr="001B6A93" w:rsidRDefault="00FA38F2" w:rsidP="0054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     </w:t>
      </w:r>
      <w:r w:rsidR="001B6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6A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Н. В. Жидкова</w:t>
      </w:r>
      <w:r w:rsidRPr="001B6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B92758" w:rsidRPr="001B6A93" w:rsidSect="0014646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32" w:rsidRDefault="00626632" w:rsidP="001262B1">
      <w:pPr>
        <w:spacing w:after="0" w:line="240" w:lineRule="auto"/>
      </w:pPr>
      <w:r>
        <w:separator/>
      </w:r>
    </w:p>
  </w:endnote>
  <w:endnote w:type="continuationSeparator" w:id="0">
    <w:p w:rsidR="00626632" w:rsidRDefault="00626632" w:rsidP="0012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32" w:rsidRDefault="00626632" w:rsidP="001262B1">
      <w:pPr>
        <w:spacing w:after="0" w:line="240" w:lineRule="auto"/>
      </w:pPr>
      <w:r>
        <w:separator/>
      </w:r>
    </w:p>
  </w:footnote>
  <w:footnote w:type="continuationSeparator" w:id="0">
    <w:p w:rsidR="00626632" w:rsidRDefault="00626632" w:rsidP="0012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64"/>
    <w:multiLevelType w:val="multilevel"/>
    <w:tmpl w:val="BDF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5D9"/>
    <w:multiLevelType w:val="hybridMultilevel"/>
    <w:tmpl w:val="25A2F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0665A"/>
    <w:multiLevelType w:val="multilevel"/>
    <w:tmpl w:val="B8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163F"/>
    <w:multiLevelType w:val="multilevel"/>
    <w:tmpl w:val="4C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6FA"/>
    <w:multiLevelType w:val="multilevel"/>
    <w:tmpl w:val="89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E7261"/>
    <w:multiLevelType w:val="multilevel"/>
    <w:tmpl w:val="9B7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E4862"/>
    <w:multiLevelType w:val="multilevel"/>
    <w:tmpl w:val="3D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A2F"/>
    <w:multiLevelType w:val="multilevel"/>
    <w:tmpl w:val="21B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E1EEB"/>
    <w:multiLevelType w:val="hybridMultilevel"/>
    <w:tmpl w:val="7DCC6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4B6D"/>
    <w:multiLevelType w:val="multilevel"/>
    <w:tmpl w:val="D42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047323"/>
    <w:multiLevelType w:val="multilevel"/>
    <w:tmpl w:val="CCB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A5F05"/>
    <w:multiLevelType w:val="hybridMultilevel"/>
    <w:tmpl w:val="0D1E8D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C34EBE"/>
    <w:multiLevelType w:val="hybridMultilevel"/>
    <w:tmpl w:val="1E3072B4"/>
    <w:lvl w:ilvl="0" w:tplc="84426D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D327C9"/>
    <w:multiLevelType w:val="hybridMultilevel"/>
    <w:tmpl w:val="C2D4DFC8"/>
    <w:lvl w:ilvl="0" w:tplc="84426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3662FA"/>
    <w:multiLevelType w:val="multilevel"/>
    <w:tmpl w:val="AC9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F05F4"/>
    <w:multiLevelType w:val="multilevel"/>
    <w:tmpl w:val="1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54BB7"/>
    <w:multiLevelType w:val="multilevel"/>
    <w:tmpl w:val="050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A3A29"/>
    <w:multiLevelType w:val="multilevel"/>
    <w:tmpl w:val="CB3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C276F"/>
    <w:multiLevelType w:val="multilevel"/>
    <w:tmpl w:val="30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51224"/>
    <w:multiLevelType w:val="hybridMultilevel"/>
    <w:tmpl w:val="5F1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5DF2"/>
    <w:multiLevelType w:val="multilevel"/>
    <w:tmpl w:val="D32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55070"/>
    <w:multiLevelType w:val="multilevel"/>
    <w:tmpl w:val="5FF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47E5D"/>
    <w:multiLevelType w:val="hybridMultilevel"/>
    <w:tmpl w:val="33605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3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18"/>
  </w:num>
  <w:num w:numId="10">
    <w:abstractNumId w:val="5"/>
  </w:num>
  <w:num w:numId="11">
    <w:abstractNumId w:val="16"/>
  </w:num>
  <w:num w:numId="12">
    <w:abstractNumId w:val="17"/>
  </w:num>
  <w:num w:numId="13">
    <w:abstractNumId w:val="7"/>
  </w:num>
  <w:num w:numId="14">
    <w:abstractNumId w:val="6"/>
  </w:num>
  <w:num w:numId="15">
    <w:abstractNumId w:val="22"/>
  </w:num>
  <w:num w:numId="16">
    <w:abstractNumId w:val="9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758"/>
    <w:rsid w:val="00003EEB"/>
    <w:rsid w:val="00005AA7"/>
    <w:rsid w:val="0000700C"/>
    <w:rsid w:val="0000720E"/>
    <w:rsid w:val="000107FD"/>
    <w:rsid w:val="00012EED"/>
    <w:rsid w:val="0001575C"/>
    <w:rsid w:val="000202B0"/>
    <w:rsid w:val="00021EDF"/>
    <w:rsid w:val="00024E72"/>
    <w:rsid w:val="000310B9"/>
    <w:rsid w:val="00036087"/>
    <w:rsid w:val="00037B05"/>
    <w:rsid w:val="000420F1"/>
    <w:rsid w:val="00046A63"/>
    <w:rsid w:val="00050AC2"/>
    <w:rsid w:val="00052878"/>
    <w:rsid w:val="00062494"/>
    <w:rsid w:val="00063A30"/>
    <w:rsid w:val="00066A4E"/>
    <w:rsid w:val="0006765E"/>
    <w:rsid w:val="00067ABB"/>
    <w:rsid w:val="0007022C"/>
    <w:rsid w:val="000702C1"/>
    <w:rsid w:val="00070AB7"/>
    <w:rsid w:val="0007108D"/>
    <w:rsid w:val="00073A50"/>
    <w:rsid w:val="00073D36"/>
    <w:rsid w:val="0007425E"/>
    <w:rsid w:val="000766D6"/>
    <w:rsid w:val="00077E8C"/>
    <w:rsid w:val="00080355"/>
    <w:rsid w:val="00080EE4"/>
    <w:rsid w:val="00085624"/>
    <w:rsid w:val="000954B3"/>
    <w:rsid w:val="00096859"/>
    <w:rsid w:val="000976C9"/>
    <w:rsid w:val="00097B9A"/>
    <w:rsid w:val="000A2CEB"/>
    <w:rsid w:val="000A7F00"/>
    <w:rsid w:val="000B1411"/>
    <w:rsid w:val="000B1969"/>
    <w:rsid w:val="000B340E"/>
    <w:rsid w:val="000B4D87"/>
    <w:rsid w:val="000B637A"/>
    <w:rsid w:val="000C16CC"/>
    <w:rsid w:val="000C23DB"/>
    <w:rsid w:val="000C2DF6"/>
    <w:rsid w:val="000C4E50"/>
    <w:rsid w:val="000C5AE3"/>
    <w:rsid w:val="000C5F9D"/>
    <w:rsid w:val="000C67D4"/>
    <w:rsid w:val="000C7435"/>
    <w:rsid w:val="000D310F"/>
    <w:rsid w:val="000D3D0E"/>
    <w:rsid w:val="000D3FAC"/>
    <w:rsid w:val="000D7C4E"/>
    <w:rsid w:val="000E04FB"/>
    <w:rsid w:val="000E0BCE"/>
    <w:rsid w:val="000E2892"/>
    <w:rsid w:val="000E3BC5"/>
    <w:rsid w:val="000E43F8"/>
    <w:rsid w:val="000F1A78"/>
    <w:rsid w:val="000F5163"/>
    <w:rsid w:val="001004E3"/>
    <w:rsid w:val="00104194"/>
    <w:rsid w:val="00111D04"/>
    <w:rsid w:val="001175D7"/>
    <w:rsid w:val="001203AE"/>
    <w:rsid w:val="001213B0"/>
    <w:rsid w:val="001223F6"/>
    <w:rsid w:val="00122CE5"/>
    <w:rsid w:val="0012370B"/>
    <w:rsid w:val="00124112"/>
    <w:rsid w:val="00124600"/>
    <w:rsid w:val="001253C2"/>
    <w:rsid w:val="001262B1"/>
    <w:rsid w:val="0013643D"/>
    <w:rsid w:val="00141C40"/>
    <w:rsid w:val="00144A12"/>
    <w:rsid w:val="00146461"/>
    <w:rsid w:val="00146654"/>
    <w:rsid w:val="001472CE"/>
    <w:rsid w:val="0015137E"/>
    <w:rsid w:val="00153410"/>
    <w:rsid w:val="00153BFF"/>
    <w:rsid w:val="00153E07"/>
    <w:rsid w:val="001565F7"/>
    <w:rsid w:val="00160802"/>
    <w:rsid w:val="00160946"/>
    <w:rsid w:val="00161BBB"/>
    <w:rsid w:val="0016392E"/>
    <w:rsid w:val="00175A77"/>
    <w:rsid w:val="00175D26"/>
    <w:rsid w:val="00181D40"/>
    <w:rsid w:val="001844DB"/>
    <w:rsid w:val="00185601"/>
    <w:rsid w:val="00186559"/>
    <w:rsid w:val="00186C15"/>
    <w:rsid w:val="0019003E"/>
    <w:rsid w:val="00190C7D"/>
    <w:rsid w:val="00192A00"/>
    <w:rsid w:val="001960A6"/>
    <w:rsid w:val="00196199"/>
    <w:rsid w:val="001A4BFD"/>
    <w:rsid w:val="001A5B3D"/>
    <w:rsid w:val="001A78E3"/>
    <w:rsid w:val="001A7D01"/>
    <w:rsid w:val="001B21F9"/>
    <w:rsid w:val="001B4C7D"/>
    <w:rsid w:val="001B6A93"/>
    <w:rsid w:val="001B78DE"/>
    <w:rsid w:val="001C1D8E"/>
    <w:rsid w:val="001C2125"/>
    <w:rsid w:val="001C2499"/>
    <w:rsid w:val="001C610D"/>
    <w:rsid w:val="001C68D9"/>
    <w:rsid w:val="001C7A05"/>
    <w:rsid w:val="001D1116"/>
    <w:rsid w:val="001D6A6A"/>
    <w:rsid w:val="001D7AA7"/>
    <w:rsid w:val="001E0EFA"/>
    <w:rsid w:val="001E3A02"/>
    <w:rsid w:val="001E3EEB"/>
    <w:rsid w:val="001E4449"/>
    <w:rsid w:val="001F0B6F"/>
    <w:rsid w:val="001F13A6"/>
    <w:rsid w:val="001F301E"/>
    <w:rsid w:val="001F3258"/>
    <w:rsid w:val="001F4DBF"/>
    <w:rsid w:val="001F6BA8"/>
    <w:rsid w:val="001F796F"/>
    <w:rsid w:val="00204D2C"/>
    <w:rsid w:val="00205028"/>
    <w:rsid w:val="002056F8"/>
    <w:rsid w:val="00212B17"/>
    <w:rsid w:val="0022063A"/>
    <w:rsid w:val="00220C2B"/>
    <w:rsid w:val="00227F0A"/>
    <w:rsid w:val="0023040D"/>
    <w:rsid w:val="00233D30"/>
    <w:rsid w:val="00234164"/>
    <w:rsid w:val="00234DB3"/>
    <w:rsid w:val="0024017B"/>
    <w:rsid w:val="002402D3"/>
    <w:rsid w:val="00240BAC"/>
    <w:rsid w:val="00240BBF"/>
    <w:rsid w:val="00241B94"/>
    <w:rsid w:val="0024202F"/>
    <w:rsid w:val="0024294F"/>
    <w:rsid w:val="00242DC4"/>
    <w:rsid w:val="002440F8"/>
    <w:rsid w:val="00244CCD"/>
    <w:rsid w:val="00250349"/>
    <w:rsid w:val="002508CA"/>
    <w:rsid w:val="00250CF3"/>
    <w:rsid w:val="0025399D"/>
    <w:rsid w:val="00254578"/>
    <w:rsid w:val="002600C7"/>
    <w:rsid w:val="00260331"/>
    <w:rsid w:val="00263C94"/>
    <w:rsid w:val="00271164"/>
    <w:rsid w:val="0027248F"/>
    <w:rsid w:val="00274320"/>
    <w:rsid w:val="002748B3"/>
    <w:rsid w:val="00274C90"/>
    <w:rsid w:val="00275D51"/>
    <w:rsid w:val="00276CD3"/>
    <w:rsid w:val="00281997"/>
    <w:rsid w:val="00282B93"/>
    <w:rsid w:val="002833FF"/>
    <w:rsid w:val="00283783"/>
    <w:rsid w:val="00283F0F"/>
    <w:rsid w:val="0028705B"/>
    <w:rsid w:val="00287BE0"/>
    <w:rsid w:val="0029363D"/>
    <w:rsid w:val="00294FEB"/>
    <w:rsid w:val="002956B4"/>
    <w:rsid w:val="00295918"/>
    <w:rsid w:val="002A04A1"/>
    <w:rsid w:val="002A04A8"/>
    <w:rsid w:val="002A158E"/>
    <w:rsid w:val="002A2728"/>
    <w:rsid w:val="002A5876"/>
    <w:rsid w:val="002A689A"/>
    <w:rsid w:val="002B13FE"/>
    <w:rsid w:val="002B494D"/>
    <w:rsid w:val="002B5C6D"/>
    <w:rsid w:val="002B7003"/>
    <w:rsid w:val="002B70DB"/>
    <w:rsid w:val="002C367E"/>
    <w:rsid w:val="002C5827"/>
    <w:rsid w:val="002C68D4"/>
    <w:rsid w:val="002C6C8F"/>
    <w:rsid w:val="002D1730"/>
    <w:rsid w:val="002D1CAE"/>
    <w:rsid w:val="002D20D8"/>
    <w:rsid w:val="002D4CA9"/>
    <w:rsid w:val="002E1341"/>
    <w:rsid w:val="002E2311"/>
    <w:rsid w:val="002E4D8E"/>
    <w:rsid w:val="002E4F67"/>
    <w:rsid w:val="002E507D"/>
    <w:rsid w:val="002F172A"/>
    <w:rsid w:val="002F334E"/>
    <w:rsid w:val="002F444A"/>
    <w:rsid w:val="002F6251"/>
    <w:rsid w:val="003000A8"/>
    <w:rsid w:val="00302943"/>
    <w:rsid w:val="003037E1"/>
    <w:rsid w:val="00304924"/>
    <w:rsid w:val="00307017"/>
    <w:rsid w:val="00307911"/>
    <w:rsid w:val="003115DD"/>
    <w:rsid w:val="00317D10"/>
    <w:rsid w:val="00317D69"/>
    <w:rsid w:val="00321B0C"/>
    <w:rsid w:val="00321EC7"/>
    <w:rsid w:val="00324DD1"/>
    <w:rsid w:val="00330B2D"/>
    <w:rsid w:val="00331F81"/>
    <w:rsid w:val="00332A28"/>
    <w:rsid w:val="003405E0"/>
    <w:rsid w:val="00343C47"/>
    <w:rsid w:val="00351C3E"/>
    <w:rsid w:val="0035227E"/>
    <w:rsid w:val="003525FD"/>
    <w:rsid w:val="00353B2B"/>
    <w:rsid w:val="003550EA"/>
    <w:rsid w:val="00357C73"/>
    <w:rsid w:val="00362A92"/>
    <w:rsid w:val="00363084"/>
    <w:rsid w:val="003651EC"/>
    <w:rsid w:val="00365710"/>
    <w:rsid w:val="003668EB"/>
    <w:rsid w:val="00372772"/>
    <w:rsid w:val="00376652"/>
    <w:rsid w:val="00380968"/>
    <w:rsid w:val="00381490"/>
    <w:rsid w:val="00381B80"/>
    <w:rsid w:val="00383EBF"/>
    <w:rsid w:val="003843EE"/>
    <w:rsid w:val="00384F88"/>
    <w:rsid w:val="00385CD5"/>
    <w:rsid w:val="00387849"/>
    <w:rsid w:val="00392B86"/>
    <w:rsid w:val="00393649"/>
    <w:rsid w:val="00393A93"/>
    <w:rsid w:val="003A080E"/>
    <w:rsid w:val="003A0FD0"/>
    <w:rsid w:val="003A1554"/>
    <w:rsid w:val="003A33C7"/>
    <w:rsid w:val="003A4DEA"/>
    <w:rsid w:val="003A5B9C"/>
    <w:rsid w:val="003B4185"/>
    <w:rsid w:val="003B7E74"/>
    <w:rsid w:val="003C32E9"/>
    <w:rsid w:val="003C67BF"/>
    <w:rsid w:val="003C7398"/>
    <w:rsid w:val="003E4912"/>
    <w:rsid w:val="003E689E"/>
    <w:rsid w:val="003F1144"/>
    <w:rsid w:val="003F31A7"/>
    <w:rsid w:val="003F406E"/>
    <w:rsid w:val="003F69BC"/>
    <w:rsid w:val="003F6AAF"/>
    <w:rsid w:val="00400210"/>
    <w:rsid w:val="00400F18"/>
    <w:rsid w:val="00402B91"/>
    <w:rsid w:val="004048F4"/>
    <w:rsid w:val="004133FC"/>
    <w:rsid w:val="00413819"/>
    <w:rsid w:val="004167EB"/>
    <w:rsid w:val="00420511"/>
    <w:rsid w:val="004209CC"/>
    <w:rsid w:val="0042167C"/>
    <w:rsid w:val="0042298D"/>
    <w:rsid w:val="00423157"/>
    <w:rsid w:val="004268CE"/>
    <w:rsid w:val="004305F5"/>
    <w:rsid w:val="00431BE7"/>
    <w:rsid w:val="004357CF"/>
    <w:rsid w:val="004422E5"/>
    <w:rsid w:val="004428AA"/>
    <w:rsid w:val="00446883"/>
    <w:rsid w:val="0045176A"/>
    <w:rsid w:val="00452E4A"/>
    <w:rsid w:val="00456DD7"/>
    <w:rsid w:val="00457499"/>
    <w:rsid w:val="00462A13"/>
    <w:rsid w:val="004631BB"/>
    <w:rsid w:val="00465637"/>
    <w:rsid w:val="00475D85"/>
    <w:rsid w:val="00483603"/>
    <w:rsid w:val="00483A38"/>
    <w:rsid w:val="004852CC"/>
    <w:rsid w:val="00492BDA"/>
    <w:rsid w:val="00493D8C"/>
    <w:rsid w:val="004958B8"/>
    <w:rsid w:val="00495BA8"/>
    <w:rsid w:val="004964D8"/>
    <w:rsid w:val="004965C0"/>
    <w:rsid w:val="00497892"/>
    <w:rsid w:val="004A1448"/>
    <w:rsid w:val="004A7452"/>
    <w:rsid w:val="004B7626"/>
    <w:rsid w:val="004C2EB7"/>
    <w:rsid w:val="004C39CB"/>
    <w:rsid w:val="004C549E"/>
    <w:rsid w:val="004D22B2"/>
    <w:rsid w:val="004D25C3"/>
    <w:rsid w:val="004D28CC"/>
    <w:rsid w:val="004D4836"/>
    <w:rsid w:val="004D5AC2"/>
    <w:rsid w:val="004E4CE6"/>
    <w:rsid w:val="004E5E1E"/>
    <w:rsid w:val="004E626F"/>
    <w:rsid w:val="004E713F"/>
    <w:rsid w:val="004F33CD"/>
    <w:rsid w:val="004F5FEA"/>
    <w:rsid w:val="005009F0"/>
    <w:rsid w:val="005015EE"/>
    <w:rsid w:val="00502310"/>
    <w:rsid w:val="00505F9C"/>
    <w:rsid w:val="0051058E"/>
    <w:rsid w:val="00510A09"/>
    <w:rsid w:val="005153AD"/>
    <w:rsid w:val="00515CA2"/>
    <w:rsid w:val="0051633F"/>
    <w:rsid w:val="00521445"/>
    <w:rsid w:val="00521575"/>
    <w:rsid w:val="00521E54"/>
    <w:rsid w:val="005228B7"/>
    <w:rsid w:val="00522E55"/>
    <w:rsid w:val="00530135"/>
    <w:rsid w:val="00532AE5"/>
    <w:rsid w:val="00532B5C"/>
    <w:rsid w:val="00533093"/>
    <w:rsid w:val="005356D2"/>
    <w:rsid w:val="005412BF"/>
    <w:rsid w:val="0054151B"/>
    <w:rsid w:val="00541AC7"/>
    <w:rsid w:val="0054249A"/>
    <w:rsid w:val="00542AEC"/>
    <w:rsid w:val="00545225"/>
    <w:rsid w:val="0054622D"/>
    <w:rsid w:val="00546E23"/>
    <w:rsid w:val="00550D92"/>
    <w:rsid w:val="00550F08"/>
    <w:rsid w:val="00550F2F"/>
    <w:rsid w:val="00557D35"/>
    <w:rsid w:val="00557E9F"/>
    <w:rsid w:val="00560CAF"/>
    <w:rsid w:val="00563340"/>
    <w:rsid w:val="00565FF9"/>
    <w:rsid w:val="00572085"/>
    <w:rsid w:val="0057233D"/>
    <w:rsid w:val="00577CB5"/>
    <w:rsid w:val="005818E3"/>
    <w:rsid w:val="00583032"/>
    <w:rsid w:val="00584252"/>
    <w:rsid w:val="00584376"/>
    <w:rsid w:val="00587870"/>
    <w:rsid w:val="005878B5"/>
    <w:rsid w:val="00592BC9"/>
    <w:rsid w:val="00592EC7"/>
    <w:rsid w:val="00597ED0"/>
    <w:rsid w:val="005A057D"/>
    <w:rsid w:val="005A0C3F"/>
    <w:rsid w:val="005A4765"/>
    <w:rsid w:val="005A4828"/>
    <w:rsid w:val="005A4EC7"/>
    <w:rsid w:val="005A50F7"/>
    <w:rsid w:val="005B0523"/>
    <w:rsid w:val="005B641A"/>
    <w:rsid w:val="005C0A99"/>
    <w:rsid w:val="005C1A65"/>
    <w:rsid w:val="005C2761"/>
    <w:rsid w:val="005C372F"/>
    <w:rsid w:val="005C50F0"/>
    <w:rsid w:val="005C5382"/>
    <w:rsid w:val="005C69F3"/>
    <w:rsid w:val="005D0A7B"/>
    <w:rsid w:val="005D0EAE"/>
    <w:rsid w:val="005D1372"/>
    <w:rsid w:val="005D2975"/>
    <w:rsid w:val="005D2F8F"/>
    <w:rsid w:val="005D3307"/>
    <w:rsid w:val="005D4C62"/>
    <w:rsid w:val="005D5E19"/>
    <w:rsid w:val="005E2BD7"/>
    <w:rsid w:val="005E4C9C"/>
    <w:rsid w:val="005F009E"/>
    <w:rsid w:val="005F766E"/>
    <w:rsid w:val="006004D8"/>
    <w:rsid w:val="00601B2C"/>
    <w:rsid w:val="006044EA"/>
    <w:rsid w:val="00604536"/>
    <w:rsid w:val="00605C5F"/>
    <w:rsid w:val="006075E5"/>
    <w:rsid w:val="00610DD5"/>
    <w:rsid w:val="00611054"/>
    <w:rsid w:val="00620D92"/>
    <w:rsid w:val="00621F99"/>
    <w:rsid w:val="0062219C"/>
    <w:rsid w:val="00624220"/>
    <w:rsid w:val="006245D2"/>
    <w:rsid w:val="0062512A"/>
    <w:rsid w:val="0062581D"/>
    <w:rsid w:val="00626632"/>
    <w:rsid w:val="0062761F"/>
    <w:rsid w:val="00630872"/>
    <w:rsid w:val="006329A1"/>
    <w:rsid w:val="00632F94"/>
    <w:rsid w:val="00635213"/>
    <w:rsid w:val="00635E21"/>
    <w:rsid w:val="00641A18"/>
    <w:rsid w:val="0064204A"/>
    <w:rsid w:val="0064467B"/>
    <w:rsid w:val="00654674"/>
    <w:rsid w:val="00654F30"/>
    <w:rsid w:val="0065548A"/>
    <w:rsid w:val="006558D4"/>
    <w:rsid w:val="00656AE5"/>
    <w:rsid w:val="00657414"/>
    <w:rsid w:val="0065767B"/>
    <w:rsid w:val="00663565"/>
    <w:rsid w:val="00664103"/>
    <w:rsid w:val="0066451B"/>
    <w:rsid w:val="006646F5"/>
    <w:rsid w:val="00667257"/>
    <w:rsid w:val="006703C0"/>
    <w:rsid w:val="006708E7"/>
    <w:rsid w:val="00671C0C"/>
    <w:rsid w:val="00671F58"/>
    <w:rsid w:val="00674216"/>
    <w:rsid w:val="00676777"/>
    <w:rsid w:val="00683113"/>
    <w:rsid w:val="006847AA"/>
    <w:rsid w:val="00684D0D"/>
    <w:rsid w:val="00687C7C"/>
    <w:rsid w:val="00690706"/>
    <w:rsid w:val="00693AC8"/>
    <w:rsid w:val="006945AB"/>
    <w:rsid w:val="00696727"/>
    <w:rsid w:val="0069679A"/>
    <w:rsid w:val="006967CC"/>
    <w:rsid w:val="00696845"/>
    <w:rsid w:val="006A1440"/>
    <w:rsid w:val="006A539A"/>
    <w:rsid w:val="006B2231"/>
    <w:rsid w:val="006B3060"/>
    <w:rsid w:val="006B3790"/>
    <w:rsid w:val="006B5628"/>
    <w:rsid w:val="006C0BDC"/>
    <w:rsid w:val="006C5A2F"/>
    <w:rsid w:val="006D26D1"/>
    <w:rsid w:val="006E236C"/>
    <w:rsid w:val="006E2B67"/>
    <w:rsid w:val="006E38CA"/>
    <w:rsid w:val="006E4111"/>
    <w:rsid w:val="006E4FFF"/>
    <w:rsid w:val="006E67A3"/>
    <w:rsid w:val="006F10B5"/>
    <w:rsid w:val="006F1452"/>
    <w:rsid w:val="006F31B6"/>
    <w:rsid w:val="00707DD4"/>
    <w:rsid w:val="007109A4"/>
    <w:rsid w:val="00710B63"/>
    <w:rsid w:val="00710C46"/>
    <w:rsid w:val="00711364"/>
    <w:rsid w:val="00711DC1"/>
    <w:rsid w:val="00712FDC"/>
    <w:rsid w:val="00714A37"/>
    <w:rsid w:val="0071535F"/>
    <w:rsid w:val="007258C0"/>
    <w:rsid w:val="00726E03"/>
    <w:rsid w:val="007301B8"/>
    <w:rsid w:val="0073341F"/>
    <w:rsid w:val="00734DD9"/>
    <w:rsid w:val="0073511D"/>
    <w:rsid w:val="00735987"/>
    <w:rsid w:val="00737489"/>
    <w:rsid w:val="00740A9F"/>
    <w:rsid w:val="00742217"/>
    <w:rsid w:val="00743B8F"/>
    <w:rsid w:val="00744D18"/>
    <w:rsid w:val="00753661"/>
    <w:rsid w:val="00754EBF"/>
    <w:rsid w:val="007570D1"/>
    <w:rsid w:val="0075779D"/>
    <w:rsid w:val="00766529"/>
    <w:rsid w:val="00767EB2"/>
    <w:rsid w:val="007709BF"/>
    <w:rsid w:val="00773371"/>
    <w:rsid w:val="00777BD8"/>
    <w:rsid w:val="0078188E"/>
    <w:rsid w:val="007839ED"/>
    <w:rsid w:val="00786407"/>
    <w:rsid w:val="00790987"/>
    <w:rsid w:val="00794399"/>
    <w:rsid w:val="007A0BA2"/>
    <w:rsid w:val="007A10BA"/>
    <w:rsid w:val="007A12D6"/>
    <w:rsid w:val="007A58C5"/>
    <w:rsid w:val="007A6472"/>
    <w:rsid w:val="007B1849"/>
    <w:rsid w:val="007B6F00"/>
    <w:rsid w:val="007C5265"/>
    <w:rsid w:val="007C793A"/>
    <w:rsid w:val="007D0EA2"/>
    <w:rsid w:val="007D2257"/>
    <w:rsid w:val="007D22FD"/>
    <w:rsid w:val="007D2554"/>
    <w:rsid w:val="007D3158"/>
    <w:rsid w:val="007D3850"/>
    <w:rsid w:val="007D4799"/>
    <w:rsid w:val="007E05BE"/>
    <w:rsid w:val="007E1909"/>
    <w:rsid w:val="007E5A14"/>
    <w:rsid w:val="007F01B7"/>
    <w:rsid w:val="007F0514"/>
    <w:rsid w:val="007F1FC5"/>
    <w:rsid w:val="007F3437"/>
    <w:rsid w:val="007F45CC"/>
    <w:rsid w:val="007F46BB"/>
    <w:rsid w:val="007F4841"/>
    <w:rsid w:val="007F57F5"/>
    <w:rsid w:val="007F5B35"/>
    <w:rsid w:val="00801CDA"/>
    <w:rsid w:val="00804D97"/>
    <w:rsid w:val="00805723"/>
    <w:rsid w:val="00805899"/>
    <w:rsid w:val="00806163"/>
    <w:rsid w:val="00807251"/>
    <w:rsid w:val="008076A1"/>
    <w:rsid w:val="00811BB8"/>
    <w:rsid w:val="00813563"/>
    <w:rsid w:val="008135F5"/>
    <w:rsid w:val="00815981"/>
    <w:rsid w:val="0081674D"/>
    <w:rsid w:val="00816FCE"/>
    <w:rsid w:val="00820E24"/>
    <w:rsid w:val="00822ED7"/>
    <w:rsid w:val="0082426D"/>
    <w:rsid w:val="0082550B"/>
    <w:rsid w:val="00827047"/>
    <w:rsid w:val="00830C2D"/>
    <w:rsid w:val="00830DA8"/>
    <w:rsid w:val="00831A2F"/>
    <w:rsid w:val="00833796"/>
    <w:rsid w:val="00835BD9"/>
    <w:rsid w:val="00835D6B"/>
    <w:rsid w:val="008369F7"/>
    <w:rsid w:val="0084035B"/>
    <w:rsid w:val="00841B84"/>
    <w:rsid w:val="00844E03"/>
    <w:rsid w:val="00847108"/>
    <w:rsid w:val="0084768C"/>
    <w:rsid w:val="0084790C"/>
    <w:rsid w:val="00851E41"/>
    <w:rsid w:val="00854B04"/>
    <w:rsid w:val="008552F0"/>
    <w:rsid w:val="00855EC7"/>
    <w:rsid w:val="00860991"/>
    <w:rsid w:val="00862084"/>
    <w:rsid w:val="0086212F"/>
    <w:rsid w:val="00862A99"/>
    <w:rsid w:val="0086504D"/>
    <w:rsid w:val="00871614"/>
    <w:rsid w:val="00872712"/>
    <w:rsid w:val="00873329"/>
    <w:rsid w:val="00874FBB"/>
    <w:rsid w:val="008818FF"/>
    <w:rsid w:val="00883CD2"/>
    <w:rsid w:val="00884543"/>
    <w:rsid w:val="008846C8"/>
    <w:rsid w:val="00890AAC"/>
    <w:rsid w:val="00892DA0"/>
    <w:rsid w:val="00893D35"/>
    <w:rsid w:val="00895ED2"/>
    <w:rsid w:val="008971EC"/>
    <w:rsid w:val="008A14A1"/>
    <w:rsid w:val="008A2F13"/>
    <w:rsid w:val="008A2F50"/>
    <w:rsid w:val="008A36A3"/>
    <w:rsid w:val="008A70F5"/>
    <w:rsid w:val="008B1C39"/>
    <w:rsid w:val="008B29F1"/>
    <w:rsid w:val="008B3685"/>
    <w:rsid w:val="008C0A4A"/>
    <w:rsid w:val="008C35E7"/>
    <w:rsid w:val="008C5162"/>
    <w:rsid w:val="008C67D2"/>
    <w:rsid w:val="008D0F63"/>
    <w:rsid w:val="008D1B18"/>
    <w:rsid w:val="008D256E"/>
    <w:rsid w:val="008D445F"/>
    <w:rsid w:val="008E2CED"/>
    <w:rsid w:val="008E410C"/>
    <w:rsid w:val="008E43D6"/>
    <w:rsid w:val="008E60B9"/>
    <w:rsid w:val="008F1597"/>
    <w:rsid w:val="008F274F"/>
    <w:rsid w:val="008F439F"/>
    <w:rsid w:val="009007E0"/>
    <w:rsid w:val="00905BD6"/>
    <w:rsid w:val="00905D7D"/>
    <w:rsid w:val="00910DEA"/>
    <w:rsid w:val="00911B06"/>
    <w:rsid w:val="00913843"/>
    <w:rsid w:val="00920370"/>
    <w:rsid w:val="009224CD"/>
    <w:rsid w:val="00923F3F"/>
    <w:rsid w:val="00924440"/>
    <w:rsid w:val="009262EF"/>
    <w:rsid w:val="00927F29"/>
    <w:rsid w:val="00930221"/>
    <w:rsid w:val="00930B57"/>
    <w:rsid w:val="00931823"/>
    <w:rsid w:val="00933073"/>
    <w:rsid w:val="009435EB"/>
    <w:rsid w:val="00945C6B"/>
    <w:rsid w:val="0094791A"/>
    <w:rsid w:val="00952B7B"/>
    <w:rsid w:val="009531A8"/>
    <w:rsid w:val="009533CF"/>
    <w:rsid w:val="00956389"/>
    <w:rsid w:val="0095657C"/>
    <w:rsid w:val="00965118"/>
    <w:rsid w:val="00966AD4"/>
    <w:rsid w:val="00967271"/>
    <w:rsid w:val="00967C0E"/>
    <w:rsid w:val="00971C3F"/>
    <w:rsid w:val="00974F03"/>
    <w:rsid w:val="009808E0"/>
    <w:rsid w:val="009824E8"/>
    <w:rsid w:val="009826A7"/>
    <w:rsid w:val="00994559"/>
    <w:rsid w:val="009961B2"/>
    <w:rsid w:val="00997246"/>
    <w:rsid w:val="009A1FDF"/>
    <w:rsid w:val="009A47F1"/>
    <w:rsid w:val="009A6EB7"/>
    <w:rsid w:val="009B5E4B"/>
    <w:rsid w:val="009C29FB"/>
    <w:rsid w:val="009C38E1"/>
    <w:rsid w:val="009D0784"/>
    <w:rsid w:val="009D133A"/>
    <w:rsid w:val="009D44B0"/>
    <w:rsid w:val="009D62C1"/>
    <w:rsid w:val="009E09F9"/>
    <w:rsid w:val="009E489D"/>
    <w:rsid w:val="009F1733"/>
    <w:rsid w:val="009F2B00"/>
    <w:rsid w:val="009F5FF6"/>
    <w:rsid w:val="009F7439"/>
    <w:rsid w:val="00A00ACB"/>
    <w:rsid w:val="00A00CA7"/>
    <w:rsid w:val="00A00FF8"/>
    <w:rsid w:val="00A065D9"/>
    <w:rsid w:val="00A066FD"/>
    <w:rsid w:val="00A0709F"/>
    <w:rsid w:val="00A07FE4"/>
    <w:rsid w:val="00A11058"/>
    <w:rsid w:val="00A215AA"/>
    <w:rsid w:val="00A23778"/>
    <w:rsid w:val="00A25C4F"/>
    <w:rsid w:val="00A30598"/>
    <w:rsid w:val="00A30796"/>
    <w:rsid w:val="00A42451"/>
    <w:rsid w:val="00A47AD6"/>
    <w:rsid w:val="00A527CD"/>
    <w:rsid w:val="00A55541"/>
    <w:rsid w:val="00A67351"/>
    <w:rsid w:val="00A73E50"/>
    <w:rsid w:val="00A77684"/>
    <w:rsid w:val="00A827C6"/>
    <w:rsid w:val="00A82A1A"/>
    <w:rsid w:val="00A872E0"/>
    <w:rsid w:val="00A87341"/>
    <w:rsid w:val="00A87763"/>
    <w:rsid w:val="00A87779"/>
    <w:rsid w:val="00A901EC"/>
    <w:rsid w:val="00A90CCA"/>
    <w:rsid w:val="00A937F6"/>
    <w:rsid w:val="00A9465F"/>
    <w:rsid w:val="00A949F1"/>
    <w:rsid w:val="00A95E2D"/>
    <w:rsid w:val="00A96DDE"/>
    <w:rsid w:val="00AA05EC"/>
    <w:rsid w:val="00AA7245"/>
    <w:rsid w:val="00AB13C4"/>
    <w:rsid w:val="00AB53B7"/>
    <w:rsid w:val="00AC1F61"/>
    <w:rsid w:val="00AC3718"/>
    <w:rsid w:val="00AC703B"/>
    <w:rsid w:val="00AD0F5B"/>
    <w:rsid w:val="00AD380F"/>
    <w:rsid w:val="00AD4A49"/>
    <w:rsid w:val="00AD4AA5"/>
    <w:rsid w:val="00AD77FB"/>
    <w:rsid w:val="00AD7CC6"/>
    <w:rsid w:val="00AE14EE"/>
    <w:rsid w:val="00AE1F81"/>
    <w:rsid w:val="00AE316A"/>
    <w:rsid w:val="00AE4564"/>
    <w:rsid w:val="00AE51AE"/>
    <w:rsid w:val="00AE6247"/>
    <w:rsid w:val="00AE63B4"/>
    <w:rsid w:val="00AE752B"/>
    <w:rsid w:val="00AF063E"/>
    <w:rsid w:val="00AF4E1F"/>
    <w:rsid w:val="00B01593"/>
    <w:rsid w:val="00B05A34"/>
    <w:rsid w:val="00B05E61"/>
    <w:rsid w:val="00B1138D"/>
    <w:rsid w:val="00B113BF"/>
    <w:rsid w:val="00B11CCD"/>
    <w:rsid w:val="00B14B6D"/>
    <w:rsid w:val="00B17526"/>
    <w:rsid w:val="00B1799E"/>
    <w:rsid w:val="00B22D29"/>
    <w:rsid w:val="00B2339D"/>
    <w:rsid w:val="00B23924"/>
    <w:rsid w:val="00B23CC3"/>
    <w:rsid w:val="00B25355"/>
    <w:rsid w:val="00B32A1A"/>
    <w:rsid w:val="00B33007"/>
    <w:rsid w:val="00B334EF"/>
    <w:rsid w:val="00B369A1"/>
    <w:rsid w:val="00B36E63"/>
    <w:rsid w:val="00B41A68"/>
    <w:rsid w:val="00B42476"/>
    <w:rsid w:val="00B446D2"/>
    <w:rsid w:val="00B465F5"/>
    <w:rsid w:val="00B46940"/>
    <w:rsid w:val="00B5046C"/>
    <w:rsid w:val="00B5072B"/>
    <w:rsid w:val="00B53472"/>
    <w:rsid w:val="00B5384A"/>
    <w:rsid w:val="00B54AFF"/>
    <w:rsid w:val="00B56FAB"/>
    <w:rsid w:val="00B60BC4"/>
    <w:rsid w:val="00B62A81"/>
    <w:rsid w:val="00B630C9"/>
    <w:rsid w:val="00B633AB"/>
    <w:rsid w:val="00B749B6"/>
    <w:rsid w:val="00B74AD3"/>
    <w:rsid w:val="00B80480"/>
    <w:rsid w:val="00B84567"/>
    <w:rsid w:val="00B84F9F"/>
    <w:rsid w:val="00B915BB"/>
    <w:rsid w:val="00B92758"/>
    <w:rsid w:val="00BA3670"/>
    <w:rsid w:val="00BA5E3D"/>
    <w:rsid w:val="00BA72A8"/>
    <w:rsid w:val="00BB02F9"/>
    <w:rsid w:val="00BB162F"/>
    <w:rsid w:val="00BB53C7"/>
    <w:rsid w:val="00BB627B"/>
    <w:rsid w:val="00BB74B9"/>
    <w:rsid w:val="00BD1884"/>
    <w:rsid w:val="00BD5918"/>
    <w:rsid w:val="00BD69F8"/>
    <w:rsid w:val="00BD7E22"/>
    <w:rsid w:val="00BE1C01"/>
    <w:rsid w:val="00BE21F4"/>
    <w:rsid w:val="00BE3E1B"/>
    <w:rsid w:val="00BF3C32"/>
    <w:rsid w:val="00BF3D53"/>
    <w:rsid w:val="00BF425E"/>
    <w:rsid w:val="00BF45D8"/>
    <w:rsid w:val="00BF53B3"/>
    <w:rsid w:val="00BF6A39"/>
    <w:rsid w:val="00C01F7F"/>
    <w:rsid w:val="00C02BE1"/>
    <w:rsid w:val="00C02E48"/>
    <w:rsid w:val="00C03FCE"/>
    <w:rsid w:val="00C16248"/>
    <w:rsid w:val="00C2064D"/>
    <w:rsid w:val="00C2068C"/>
    <w:rsid w:val="00C24CA0"/>
    <w:rsid w:val="00C26992"/>
    <w:rsid w:val="00C272BB"/>
    <w:rsid w:val="00C33A3E"/>
    <w:rsid w:val="00C41D2B"/>
    <w:rsid w:val="00C4206F"/>
    <w:rsid w:val="00C43FBF"/>
    <w:rsid w:val="00C45500"/>
    <w:rsid w:val="00C47306"/>
    <w:rsid w:val="00C63D65"/>
    <w:rsid w:val="00C6526D"/>
    <w:rsid w:val="00C66904"/>
    <w:rsid w:val="00C70E7F"/>
    <w:rsid w:val="00C70EB7"/>
    <w:rsid w:val="00C7635A"/>
    <w:rsid w:val="00C768D8"/>
    <w:rsid w:val="00C809BE"/>
    <w:rsid w:val="00C80E08"/>
    <w:rsid w:val="00C819A9"/>
    <w:rsid w:val="00C84B76"/>
    <w:rsid w:val="00C8790A"/>
    <w:rsid w:val="00C94619"/>
    <w:rsid w:val="00C94F5C"/>
    <w:rsid w:val="00C956BC"/>
    <w:rsid w:val="00C95DFB"/>
    <w:rsid w:val="00CA0718"/>
    <w:rsid w:val="00CA3F07"/>
    <w:rsid w:val="00CA45B3"/>
    <w:rsid w:val="00CA6270"/>
    <w:rsid w:val="00CA6F67"/>
    <w:rsid w:val="00CA7708"/>
    <w:rsid w:val="00CB3D1E"/>
    <w:rsid w:val="00CB3DCB"/>
    <w:rsid w:val="00CB7409"/>
    <w:rsid w:val="00CB7E49"/>
    <w:rsid w:val="00CC0915"/>
    <w:rsid w:val="00CC5AB7"/>
    <w:rsid w:val="00CC6628"/>
    <w:rsid w:val="00CD05D8"/>
    <w:rsid w:val="00CD42DE"/>
    <w:rsid w:val="00CE2068"/>
    <w:rsid w:val="00CE3393"/>
    <w:rsid w:val="00CE47BD"/>
    <w:rsid w:val="00CE65D0"/>
    <w:rsid w:val="00CF685F"/>
    <w:rsid w:val="00CF6E9B"/>
    <w:rsid w:val="00D000F0"/>
    <w:rsid w:val="00D00576"/>
    <w:rsid w:val="00D01D13"/>
    <w:rsid w:val="00D10445"/>
    <w:rsid w:val="00D1411E"/>
    <w:rsid w:val="00D15303"/>
    <w:rsid w:val="00D168FF"/>
    <w:rsid w:val="00D17AD1"/>
    <w:rsid w:val="00D20456"/>
    <w:rsid w:val="00D20CDA"/>
    <w:rsid w:val="00D22902"/>
    <w:rsid w:val="00D25666"/>
    <w:rsid w:val="00D334CF"/>
    <w:rsid w:val="00D35793"/>
    <w:rsid w:val="00D42C61"/>
    <w:rsid w:val="00D5157E"/>
    <w:rsid w:val="00D516AB"/>
    <w:rsid w:val="00D52D0E"/>
    <w:rsid w:val="00D6096E"/>
    <w:rsid w:val="00D6125D"/>
    <w:rsid w:val="00D62259"/>
    <w:rsid w:val="00D629D0"/>
    <w:rsid w:val="00D637A4"/>
    <w:rsid w:val="00D66026"/>
    <w:rsid w:val="00D75CF3"/>
    <w:rsid w:val="00D821FB"/>
    <w:rsid w:val="00D84C0A"/>
    <w:rsid w:val="00D87927"/>
    <w:rsid w:val="00D87E7E"/>
    <w:rsid w:val="00D87F67"/>
    <w:rsid w:val="00D906F6"/>
    <w:rsid w:val="00D907C3"/>
    <w:rsid w:val="00D95567"/>
    <w:rsid w:val="00D95C7F"/>
    <w:rsid w:val="00D95D61"/>
    <w:rsid w:val="00D95FCB"/>
    <w:rsid w:val="00DA05C9"/>
    <w:rsid w:val="00DA2E11"/>
    <w:rsid w:val="00DA351F"/>
    <w:rsid w:val="00DA692C"/>
    <w:rsid w:val="00DA73EB"/>
    <w:rsid w:val="00DB322B"/>
    <w:rsid w:val="00DB38E6"/>
    <w:rsid w:val="00DB41BF"/>
    <w:rsid w:val="00DB4D3D"/>
    <w:rsid w:val="00DB557C"/>
    <w:rsid w:val="00DB6920"/>
    <w:rsid w:val="00DC160C"/>
    <w:rsid w:val="00DC4C40"/>
    <w:rsid w:val="00DC7D5D"/>
    <w:rsid w:val="00DD2792"/>
    <w:rsid w:val="00DD2F9C"/>
    <w:rsid w:val="00DD4C8E"/>
    <w:rsid w:val="00DD4D8B"/>
    <w:rsid w:val="00DD59C8"/>
    <w:rsid w:val="00DE247E"/>
    <w:rsid w:val="00DE2692"/>
    <w:rsid w:val="00DE2A44"/>
    <w:rsid w:val="00DE4AF4"/>
    <w:rsid w:val="00DF03E3"/>
    <w:rsid w:val="00DF2239"/>
    <w:rsid w:val="00DF7074"/>
    <w:rsid w:val="00DF7A51"/>
    <w:rsid w:val="00E00DBA"/>
    <w:rsid w:val="00E01FCB"/>
    <w:rsid w:val="00E1137C"/>
    <w:rsid w:val="00E126D7"/>
    <w:rsid w:val="00E12AE0"/>
    <w:rsid w:val="00E14E13"/>
    <w:rsid w:val="00E14EBD"/>
    <w:rsid w:val="00E21A62"/>
    <w:rsid w:val="00E2266F"/>
    <w:rsid w:val="00E24397"/>
    <w:rsid w:val="00E259C0"/>
    <w:rsid w:val="00E27F2E"/>
    <w:rsid w:val="00E3101D"/>
    <w:rsid w:val="00E365BA"/>
    <w:rsid w:val="00E374E3"/>
    <w:rsid w:val="00E40EF7"/>
    <w:rsid w:val="00E42478"/>
    <w:rsid w:val="00E42592"/>
    <w:rsid w:val="00E439C1"/>
    <w:rsid w:val="00E44CE2"/>
    <w:rsid w:val="00E46B9B"/>
    <w:rsid w:val="00E559B8"/>
    <w:rsid w:val="00E605AA"/>
    <w:rsid w:val="00E608AB"/>
    <w:rsid w:val="00E60D75"/>
    <w:rsid w:val="00E63F1B"/>
    <w:rsid w:val="00E64744"/>
    <w:rsid w:val="00E666FD"/>
    <w:rsid w:val="00E66C17"/>
    <w:rsid w:val="00E70AD6"/>
    <w:rsid w:val="00E72C29"/>
    <w:rsid w:val="00E75017"/>
    <w:rsid w:val="00E7628F"/>
    <w:rsid w:val="00E767DC"/>
    <w:rsid w:val="00E77F02"/>
    <w:rsid w:val="00E804AC"/>
    <w:rsid w:val="00E80B8C"/>
    <w:rsid w:val="00E82FBE"/>
    <w:rsid w:val="00E83FE3"/>
    <w:rsid w:val="00E91874"/>
    <w:rsid w:val="00E92BEB"/>
    <w:rsid w:val="00E96937"/>
    <w:rsid w:val="00EA2EEC"/>
    <w:rsid w:val="00EB0818"/>
    <w:rsid w:val="00EB0D4E"/>
    <w:rsid w:val="00EB33FC"/>
    <w:rsid w:val="00EB4C7A"/>
    <w:rsid w:val="00EB58DF"/>
    <w:rsid w:val="00EB5FE0"/>
    <w:rsid w:val="00EC0AF6"/>
    <w:rsid w:val="00EC34CF"/>
    <w:rsid w:val="00EC4099"/>
    <w:rsid w:val="00EC60B3"/>
    <w:rsid w:val="00EC640F"/>
    <w:rsid w:val="00EC7D0F"/>
    <w:rsid w:val="00ED06B8"/>
    <w:rsid w:val="00ED1902"/>
    <w:rsid w:val="00EE0098"/>
    <w:rsid w:val="00EE01D9"/>
    <w:rsid w:val="00EE67B5"/>
    <w:rsid w:val="00EE7144"/>
    <w:rsid w:val="00EF33F4"/>
    <w:rsid w:val="00EF7043"/>
    <w:rsid w:val="00F03483"/>
    <w:rsid w:val="00F03DC8"/>
    <w:rsid w:val="00F04235"/>
    <w:rsid w:val="00F050B4"/>
    <w:rsid w:val="00F050E4"/>
    <w:rsid w:val="00F11941"/>
    <w:rsid w:val="00F1347D"/>
    <w:rsid w:val="00F140BA"/>
    <w:rsid w:val="00F14BA0"/>
    <w:rsid w:val="00F14D41"/>
    <w:rsid w:val="00F1513A"/>
    <w:rsid w:val="00F16788"/>
    <w:rsid w:val="00F30121"/>
    <w:rsid w:val="00F31339"/>
    <w:rsid w:val="00F31809"/>
    <w:rsid w:val="00F3206E"/>
    <w:rsid w:val="00F32A73"/>
    <w:rsid w:val="00F41B84"/>
    <w:rsid w:val="00F41BA2"/>
    <w:rsid w:val="00F52B81"/>
    <w:rsid w:val="00F538C2"/>
    <w:rsid w:val="00F561A5"/>
    <w:rsid w:val="00F56702"/>
    <w:rsid w:val="00F602AB"/>
    <w:rsid w:val="00F619E9"/>
    <w:rsid w:val="00F62727"/>
    <w:rsid w:val="00F62E24"/>
    <w:rsid w:val="00F6532E"/>
    <w:rsid w:val="00F676E1"/>
    <w:rsid w:val="00F70B0F"/>
    <w:rsid w:val="00F712EC"/>
    <w:rsid w:val="00F72535"/>
    <w:rsid w:val="00F72A27"/>
    <w:rsid w:val="00F757AD"/>
    <w:rsid w:val="00F842D4"/>
    <w:rsid w:val="00F93F47"/>
    <w:rsid w:val="00F94396"/>
    <w:rsid w:val="00F9585E"/>
    <w:rsid w:val="00FA0A73"/>
    <w:rsid w:val="00FA38F2"/>
    <w:rsid w:val="00FA49BD"/>
    <w:rsid w:val="00FA6069"/>
    <w:rsid w:val="00FA66C8"/>
    <w:rsid w:val="00FB4B2A"/>
    <w:rsid w:val="00FB7F93"/>
    <w:rsid w:val="00FC16AD"/>
    <w:rsid w:val="00FC29A6"/>
    <w:rsid w:val="00FC3D5C"/>
    <w:rsid w:val="00FC4974"/>
    <w:rsid w:val="00FC54DC"/>
    <w:rsid w:val="00FC5775"/>
    <w:rsid w:val="00FC79B5"/>
    <w:rsid w:val="00FD0F75"/>
    <w:rsid w:val="00FD1D05"/>
    <w:rsid w:val="00FD36B8"/>
    <w:rsid w:val="00FD398E"/>
    <w:rsid w:val="00FD484C"/>
    <w:rsid w:val="00FD62E4"/>
    <w:rsid w:val="00FD6543"/>
    <w:rsid w:val="00FE455B"/>
    <w:rsid w:val="00FF2B0F"/>
    <w:rsid w:val="00FF30B1"/>
    <w:rsid w:val="00FF4131"/>
    <w:rsid w:val="00FF48B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758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27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58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75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2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7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275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B9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927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B92758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B92758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B92758"/>
  </w:style>
  <w:style w:type="paragraph" w:styleId="21">
    <w:name w:val="Body Text Indent 2"/>
    <w:basedOn w:val="a"/>
    <w:link w:val="22"/>
    <w:uiPriority w:val="99"/>
    <w:semiHidden/>
    <w:unhideWhenUsed/>
    <w:rsid w:val="00B92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2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92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758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B927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B92758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B9275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B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B92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B92758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B92758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927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927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275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B92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B92758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B92758"/>
    <w:rPr>
      <w:vertAlign w:val="superscript"/>
    </w:rPr>
  </w:style>
  <w:style w:type="character" w:customStyle="1" w:styleId="apple-converted-space">
    <w:name w:val="apple-converted-space"/>
    <w:basedOn w:val="a0"/>
    <w:rsid w:val="00B92758"/>
  </w:style>
  <w:style w:type="character" w:customStyle="1" w:styleId="FontStyle31">
    <w:name w:val="Font Style31"/>
    <w:basedOn w:val="a0"/>
    <w:rsid w:val="00B92758"/>
    <w:rPr>
      <w:rFonts w:ascii="Times New Roman" w:hAnsi="Times New Roman" w:cs="Times New Roman" w:hint="default"/>
    </w:rPr>
  </w:style>
  <w:style w:type="character" w:styleId="af7">
    <w:name w:val="Strong"/>
    <w:basedOn w:val="a0"/>
    <w:uiPriority w:val="22"/>
    <w:qFormat/>
    <w:rsid w:val="00B92758"/>
    <w:rPr>
      <w:b/>
      <w:bCs/>
    </w:rPr>
  </w:style>
  <w:style w:type="table" w:styleId="af8">
    <w:name w:val="Table Grid"/>
    <w:basedOn w:val="a1"/>
    <w:uiPriority w:val="59"/>
    <w:rsid w:val="0060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25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FF1F5"/>
                                <w:left w:val="single" w:sz="18" w:space="0" w:color="EFF1F5"/>
                                <w:bottom w:val="single" w:sz="18" w:space="0" w:color="EFF1F5"/>
                                <w:right w:val="single" w:sz="18" w:space="0" w:color="EFF1F5"/>
                              </w:divBdr>
                              <w:divsChild>
                                <w:div w:id="20499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0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18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E916-75A4-4ED4-87F3-2251988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14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1106</cp:revision>
  <cp:lastPrinted>2020-12-22T14:42:00Z</cp:lastPrinted>
  <dcterms:created xsi:type="dcterms:W3CDTF">2018-04-16T10:00:00Z</dcterms:created>
  <dcterms:modified xsi:type="dcterms:W3CDTF">2023-12-27T14:35:00Z</dcterms:modified>
</cp:coreProperties>
</file>