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9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B87C06" w:rsidRPr="00E82FBE" w:rsidRDefault="000C4E50" w:rsidP="00B8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4B2166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52C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202</w:t>
      </w:r>
      <w:r w:rsidR="006252C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52C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C4E50" w:rsidRPr="00E82FBE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                                                     </w:t>
      </w:r>
      <w:r w:rsidR="00E82FBE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</w:t>
      </w:r>
      <w:r w:rsidR="00824180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824180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65383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B2166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26230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65383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5D72ED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C4E50" w:rsidRPr="00E767DC" w:rsidRDefault="000C4E50" w:rsidP="000C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C4E50" w:rsidRPr="00E767DC" w:rsidRDefault="000C4E50" w:rsidP="0059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</w:t>
      </w:r>
      <w:r w:rsidRPr="00590FD3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>Овчинского</w:t>
      </w:r>
      <w:proofErr w:type="spellEnd"/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202</w:t>
      </w:r>
      <w:r w:rsidR="006252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6252C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6252C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  <w:r w:rsid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 w:rsidR="003A48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74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, приказа № </w:t>
      </w:r>
      <w:r w:rsidR="00590F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74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A48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74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A48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74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4E50" w:rsidRPr="00E767DC" w:rsidRDefault="000C4E50" w:rsidP="003B721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Pr="00E767DC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  <w:bookmarkStart w:id="0" w:name="_Toc372534900"/>
      <w:r w:rsidRPr="00E767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bookmarkEnd w:id="0"/>
    </w:p>
    <w:p w:rsidR="00B92758" w:rsidRPr="00C272BB" w:rsidRDefault="00B92758" w:rsidP="00B92758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B92758" w:rsidRPr="00C272BB" w:rsidRDefault="00B92758" w:rsidP="00B92758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3B7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22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2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A22D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годы, что соответствует установленному периоду в части 1 статьи 173 Бюджетного кодекса Российской Федерации.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3B7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22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7A22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годы (далее -  Прогноз) разработан в </w:t>
      </w:r>
      <w:hyperlink r:id="rId8" w:history="1">
        <w:r w:rsidRPr="002B494D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  Суражского района от 26.07.2016 г. №95-1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Овчинское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8C67D2" w:rsidRPr="007B5BF3" w:rsidRDefault="008C67D2" w:rsidP="007B5B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соответствии с частью 3 статьи 173 Бюджетного кодекса Российской Федерации Прогноз </w:t>
      </w:r>
      <w:r w:rsidR="007B5BF3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социально-экономического развития 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утвержден </w:t>
      </w:r>
      <w:r w:rsidR="007B5BF3" w:rsidRPr="007B5BF3">
        <w:rPr>
          <w:rFonts w:ascii="Times New Roman" w:hAnsi="Times New Roman" w:cs="Times New Roman"/>
          <w:b/>
          <w:i/>
          <w:sz w:val="24"/>
          <w:szCs w:val="24"/>
        </w:rPr>
        <w:t>с нарушением срока, установленного п.3 ст.173 Бюджетного кодекса Российской Федерации (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постановление </w:t>
      </w:r>
      <w:proofErr w:type="spellStart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Овчинской</w:t>
      </w:r>
      <w:proofErr w:type="spellEnd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администрацией Суражского района от </w:t>
      </w:r>
      <w:r w:rsidR="008F556E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A22DE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.11.</w:t>
      </w:r>
      <w:r w:rsidR="00665383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7A22DE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665383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а №</w:t>
      </w:r>
      <w:r w:rsidR="008F556E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A22DE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81</w:t>
      </w:r>
      <w:proofErr w:type="gramStart"/>
      <w:r w:rsidR="007B5BF3" w:rsidRPr="007B5B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)</w:t>
      </w:r>
      <w:proofErr w:type="gramEnd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369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</w:t>
      </w:r>
      <w:r w:rsidR="00104194" w:rsidRPr="002B49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69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C369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годов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социально-экономического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развития за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предыдущие годы, ожидаемых итогов за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914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69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Pr="002B49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</w:t>
      </w:r>
      <w:proofErr w:type="gram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поселения.</w:t>
      </w:r>
    </w:p>
    <w:p w:rsidR="008C67D2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</w:t>
      </w:r>
      <w:proofErr w:type="spellStart"/>
      <w:r w:rsidR="003B721B"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369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осуществлялась по двум вариантам, с 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0619C3" w:rsidRPr="00581DDE" w:rsidRDefault="000619C3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Однако, в нарушение 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Овчинское</w:t>
      </w:r>
      <w:proofErr w:type="spell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сельское поселение на среднесрочный и долгосрочный период» от 26.07.2016 г. №95-1 в пояснительной записке к прогнозу социально-экономического развития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proofErr w:type="gram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этом</w:t>
      </w:r>
      <w:proofErr w:type="gram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пояснительная записка составлена не корректно, сжата и не отражает основные показатели экономического развития муниципального образования и не увязана с бюджетными проектировками на плановый период. Отсутствуют табличные формы прогноза.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составляет 64</w:t>
      </w:r>
      <w:r w:rsidR="0068455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кв.м. На территории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находятся 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села: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Овчинец</w:t>
      </w:r>
      <w:proofErr w:type="spellEnd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Душатин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деревни: Калинки, Пески,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Лубенъки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Грабовка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Михайловка, Старая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Кашовка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Сенча, </w:t>
      </w:r>
      <w:proofErr w:type="gram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Заводок</w:t>
      </w:r>
      <w:proofErr w:type="gram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Новая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Кашовка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поселки: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Верховой, Красный Бор, Петровский,</w:t>
      </w:r>
      <w:r w:rsidRPr="002B494D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Иванов,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Низ,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Веселый, Беляны, Александровка.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</w:p>
    <w:p w:rsidR="00391451" w:rsidRDefault="00391451" w:rsidP="008C67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населения 22</w:t>
      </w:r>
      <w:r w:rsidR="00317182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из них экономически активное население – 9</w:t>
      </w:r>
      <w:r w:rsidR="00317182"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C67D2" w:rsidRPr="00835BD9" w:rsidRDefault="008C67D2" w:rsidP="008C67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Наблюдается сокращение численности населения, обусловленное более чем трехкратным превышением смертности над рождаемостью, которое не компенсируется миграционным приростом.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20</w:t>
      </w:r>
      <w:r w:rsidR="002B494D" w:rsidRPr="00835B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C0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СПК "Западный", ОАО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Агрогородок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Суражский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76777" w:rsidRPr="00835BD9">
        <w:rPr>
          <w:rFonts w:ascii="Times New Roman" w:eastAsia="Times New Roman" w:hAnsi="Times New Roman" w:cs="Times New Roman"/>
          <w:sz w:val="24"/>
          <w:szCs w:val="24"/>
        </w:rPr>
        <w:t>часть СПК «Каменский»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, находящееся на территории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Инвестиций в основной капитал нет. 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12 магазинов индивидуальных предпринимателей. Объекты общественного питания на территории поселения отсутствуют.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Социальная сфера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Калинковский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СОШ",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ООШ", 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Душатенский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Калинковская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библиотека.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411" w:rsidRPr="00835BD9" w:rsidRDefault="000B1411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Численность экономически активного населения –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956 человек. </w:t>
      </w:r>
    </w:p>
    <w:p w:rsidR="00690706" w:rsidRPr="00835BD9" w:rsidRDefault="00690706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доходов населения является заработная плата. Кроме этого вспомогательным источником доходов являются доходы от подсобного хозяйства.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Для снабжения населения водой на территории поселения расположены 10 водонапорных башен и 11 артезианских скважин.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>Объекты водоснабжения обслуживает МУП «</w:t>
      </w:r>
      <w:proofErr w:type="spellStart"/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r w:rsidR="000915AC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E949F0" w:rsidRPr="00E82FBE" w:rsidRDefault="00B92758" w:rsidP="00E9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  <w:r w:rsidR="0006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E0C0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202</w:t>
      </w:r>
      <w:r w:rsidR="00BE0C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E0C0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6345" w:rsidRPr="00806345" w:rsidRDefault="00665383" w:rsidP="00DD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E67092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 xml:space="preserve">Суражского муниципального района </w:t>
      </w:r>
      <w:r w:rsidR="00806345" w:rsidRPr="0080634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DD0C28" w:rsidRPr="008063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5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6345" w:rsidRPr="00806345">
        <w:rPr>
          <w:rFonts w:ascii="Times New Roman" w:eastAsia="Times New Roman" w:hAnsi="Times New Roman" w:cs="Times New Roman"/>
          <w:sz w:val="24"/>
          <w:szCs w:val="24"/>
        </w:rPr>
        <w:t xml:space="preserve"> что не противоречит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п. 1 ст. 185 Бюджетного кодекса РФ</w:t>
      </w:r>
      <w:r w:rsidR="00806345" w:rsidRPr="0080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45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6E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6E4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6E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856E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6E4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6E4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53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 бюджетной системы РФ.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4F6C80" w:rsidRPr="004F6C80" w:rsidRDefault="004F6C80" w:rsidP="004F6C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6C80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4F6C80" w:rsidRPr="004F6C80" w:rsidRDefault="004F6C80" w:rsidP="004F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6C80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30F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930F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9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255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30F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30F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30F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65383" w:rsidRPr="00C84B76" w:rsidRDefault="00CE544C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со ст. </w:t>
      </w:r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184.1 БК РФ в части состава </w:t>
      </w:r>
      <w:proofErr w:type="gramStart"/>
      <w:r w:rsidR="00665383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665383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утверждены</w:t>
      </w:r>
      <w:proofErr w:type="gramEnd"/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30F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894">
        <w:rPr>
          <w:rFonts w:ascii="Times New Roman" w:eastAsia="Times New Roman" w:hAnsi="Times New Roman" w:cs="Times New Roman"/>
          <w:sz w:val="24"/>
          <w:szCs w:val="24"/>
        </w:rPr>
        <w:t>12007,5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30F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894">
        <w:rPr>
          <w:rFonts w:ascii="Times New Roman" w:eastAsia="Times New Roman" w:hAnsi="Times New Roman" w:cs="Times New Roman"/>
          <w:sz w:val="24"/>
          <w:szCs w:val="24"/>
        </w:rPr>
        <w:t>12007,5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0189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>Кроме того, в соответствии с указанной статьей, проектом</w:t>
      </w:r>
      <w:r w:rsidR="00550C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D2F8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383" w:rsidRPr="00994559" w:rsidRDefault="00665383" w:rsidP="00665383">
      <w:pPr>
        <w:pStyle w:val="af4"/>
        <w:numPr>
          <w:ilvl w:val="0"/>
          <w:numId w:val="4"/>
        </w:numPr>
        <w:ind w:left="1134" w:hanging="720"/>
        <w:jc w:val="both"/>
        <w:rPr>
          <w:rFonts w:ascii="Wingdings" w:hAnsi="Wingdings"/>
          <w:sz w:val="24"/>
          <w:szCs w:val="24"/>
        </w:rPr>
      </w:pPr>
      <w:r w:rsidRPr="00994559">
        <w:rPr>
          <w:sz w:val="24"/>
          <w:szCs w:val="24"/>
        </w:rPr>
        <w:t xml:space="preserve">проектом установлены основные характеристики бюджета </w:t>
      </w:r>
      <w:proofErr w:type="spellStart"/>
      <w:r>
        <w:rPr>
          <w:sz w:val="24"/>
          <w:szCs w:val="24"/>
        </w:rPr>
        <w:t>Овчинского</w:t>
      </w:r>
      <w:proofErr w:type="spellEnd"/>
      <w:r w:rsidRPr="00994559">
        <w:rPr>
          <w:sz w:val="24"/>
          <w:szCs w:val="24"/>
        </w:rPr>
        <w:t xml:space="preserve"> сельского поселения  на 202</w:t>
      </w:r>
      <w:r w:rsidR="00901894">
        <w:rPr>
          <w:sz w:val="24"/>
          <w:szCs w:val="24"/>
        </w:rPr>
        <w:t>3</w:t>
      </w:r>
      <w:r w:rsidRPr="00994559">
        <w:rPr>
          <w:sz w:val="24"/>
          <w:szCs w:val="24"/>
        </w:rPr>
        <w:t>-202</w:t>
      </w:r>
      <w:r w:rsidR="00901894">
        <w:rPr>
          <w:sz w:val="24"/>
          <w:szCs w:val="24"/>
        </w:rPr>
        <w:t>4</w:t>
      </w:r>
      <w:r w:rsidRPr="00994559">
        <w:rPr>
          <w:sz w:val="24"/>
          <w:szCs w:val="24"/>
        </w:rPr>
        <w:t xml:space="preserve"> годы</w:t>
      </w:r>
      <w:r>
        <w:rPr>
          <w:sz w:val="24"/>
          <w:szCs w:val="24"/>
        </w:rPr>
        <w:t>;</w:t>
      </w:r>
      <w:r w:rsidRPr="00994559">
        <w:rPr>
          <w:rFonts w:ascii="Wingdings" w:hAnsi="Wingdings"/>
          <w:sz w:val="24"/>
          <w:szCs w:val="24"/>
        </w:rPr>
        <w:t>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665383" w:rsidRPr="005D2F8F" w:rsidRDefault="00665383" w:rsidP="0066538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665383" w:rsidRPr="005D2F8F" w:rsidRDefault="00665383" w:rsidP="0066538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0189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90189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90189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и на плановый период 202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9A9">
        <w:rPr>
          <w:rFonts w:ascii="Wingdings" w:eastAsia="Times New Roman" w:hAnsi="Wingdings" w:cs="Times New Roman"/>
          <w:sz w:val="24"/>
          <w:szCs w:val="24"/>
        </w:rPr>
        <w:t></w:t>
      </w:r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в проекте 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</w:t>
      </w:r>
      <w:proofErr w:type="gramEnd"/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Pr="00C819A9">
        <w:rPr>
          <w:rFonts w:ascii="Times New Roman" w:eastAsia="Times New Roman" w:hAnsi="Times New Roman" w:cs="Times New Roman"/>
          <w:sz w:val="24"/>
          <w:szCs w:val="24"/>
        </w:rPr>
        <w:t>превышающем</w:t>
      </w:r>
      <w:proofErr w:type="gramEnd"/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665383" w:rsidRPr="0076698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665383" w:rsidRPr="0076698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Овчинским</w:t>
      </w:r>
      <w:proofErr w:type="spellEnd"/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192991" w:rsidRPr="00192991" w:rsidRDefault="00192991" w:rsidP="00192991">
      <w:pPr>
        <w:pStyle w:val="af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Источники финансирования дефицита бюджета.</w:t>
      </w:r>
    </w:p>
    <w:p w:rsidR="00CE544C" w:rsidRDefault="00CE544C" w:rsidP="00CE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утверждены</w:t>
      </w:r>
      <w:r w:rsidR="00192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объемы межбюджетных трансфертов, получаемых из других бюджетов бюджетной системы на 202</w:t>
      </w:r>
      <w:r w:rsidR="001B254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1B2543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1B254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  <w:r w:rsidR="006963E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92758" w:rsidRPr="0020192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поселения </w:t>
      </w:r>
    </w:p>
    <w:p w:rsidR="00B92758" w:rsidRPr="0020192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65383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16E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65383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</w:t>
      </w:r>
      <w:r w:rsidR="00671F58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16E2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665383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16E2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65383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</w:p>
    <w:p w:rsidR="003B7E74" w:rsidRPr="00201928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17088" w:rsidRPr="002019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192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788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06"/>
        <w:gridCol w:w="866"/>
        <w:gridCol w:w="851"/>
        <w:gridCol w:w="850"/>
        <w:gridCol w:w="851"/>
        <w:gridCol w:w="820"/>
        <w:gridCol w:w="851"/>
        <w:gridCol w:w="850"/>
      </w:tblGrid>
      <w:tr w:rsidR="00201928" w:rsidRPr="00201928" w:rsidTr="003A2606">
        <w:trPr>
          <w:trHeight w:val="25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</w:t>
            </w: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</w:t>
            </w:r>
            <w:r w:rsidR="000861FE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16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3C765A" w:rsidRPr="00201928" w:rsidRDefault="003C765A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F16E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202</w:t>
            </w:r>
            <w:r w:rsidR="00F16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F16E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F16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F16E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F16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96887" w:rsidRPr="00201928" w:rsidTr="003A2606">
        <w:trPr>
          <w:trHeight w:val="67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887" w:rsidRPr="00201928" w:rsidRDefault="00196887" w:rsidP="003C76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887" w:rsidRPr="00201928" w:rsidRDefault="00196887" w:rsidP="003C76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196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196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</w:tr>
      <w:tr w:rsidR="00DC644E" w:rsidRPr="003C765A" w:rsidTr="003A2606">
        <w:trPr>
          <w:trHeight w:val="25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4E" w:rsidRPr="003C765A" w:rsidRDefault="00DC644E" w:rsidP="003C76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-7606,7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</w:tr>
      <w:tr w:rsidR="00DC644E" w:rsidRPr="003C765A" w:rsidTr="003A2606">
        <w:trPr>
          <w:trHeight w:val="21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4E" w:rsidRPr="003C765A" w:rsidRDefault="00DC644E" w:rsidP="003C765A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2B1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2,5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</w:tr>
      <w:tr w:rsidR="00DC644E" w:rsidRPr="003C765A" w:rsidTr="003A2606">
        <w:trPr>
          <w:trHeight w:val="26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4E" w:rsidRPr="003C765A" w:rsidRDefault="00DC644E" w:rsidP="003C76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4E" w:rsidRPr="00DC644E" w:rsidRDefault="00DC6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D87F67" w:rsidRDefault="00665383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673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ED3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6736DC">
        <w:rPr>
          <w:rFonts w:ascii="Times New Roman" w:eastAsia="Times New Roman" w:hAnsi="Times New Roman" w:cs="Times New Roman"/>
          <w:sz w:val="24"/>
          <w:szCs w:val="24"/>
        </w:rPr>
        <w:t>12007,5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 оценки ожидаемого исполнения бюджета 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504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36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>а на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6DC">
        <w:rPr>
          <w:rFonts w:ascii="Times New Roman" w:eastAsia="Times New Roman" w:hAnsi="Times New Roman" w:cs="Times New Roman"/>
          <w:sz w:val="24"/>
          <w:szCs w:val="24"/>
        </w:rPr>
        <w:t>7606,7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6736DC">
        <w:rPr>
          <w:rFonts w:ascii="Times New Roman" w:eastAsia="Times New Roman" w:hAnsi="Times New Roman" w:cs="Times New Roman"/>
          <w:sz w:val="24"/>
          <w:szCs w:val="24"/>
        </w:rPr>
        <w:t>38,8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B92758" w:rsidRPr="00D87F67" w:rsidRDefault="00B92758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12007,5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7036,2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в 2,5 раза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2758" w:rsidRPr="00D87F67" w:rsidRDefault="00665383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2B18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11595,4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с у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доходов </w:t>
      </w:r>
      <w:r w:rsidR="000702C1" w:rsidRPr="00D87F67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B1884">
        <w:rPr>
          <w:rFonts w:ascii="Times New Roman" w:eastAsia="Times New Roman" w:hAnsi="Times New Roman" w:cs="Times New Roman"/>
          <w:sz w:val="24"/>
          <w:szCs w:val="24"/>
        </w:rPr>
        <w:t>0,4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%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265" w:rsidRPr="00D87F67" w:rsidRDefault="00665383" w:rsidP="007C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AB5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AB5DE0">
        <w:rPr>
          <w:rFonts w:ascii="Times New Roman" w:eastAsia="Times New Roman" w:hAnsi="Times New Roman" w:cs="Times New Roman"/>
          <w:sz w:val="24"/>
          <w:szCs w:val="24"/>
        </w:rPr>
        <w:t>121057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DE0">
        <w:rPr>
          <w:rFonts w:ascii="Times New Roman" w:eastAsia="Times New Roman" w:hAnsi="Times New Roman" w:cs="Times New Roman"/>
          <w:sz w:val="24"/>
          <w:szCs w:val="24"/>
        </w:rPr>
        <w:t>величением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B5DE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B5DE0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%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1A7D01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B9275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5C372F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957E5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D77A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D77A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57E5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3A7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92"/>
        <w:gridCol w:w="850"/>
        <w:gridCol w:w="1045"/>
        <w:gridCol w:w="709"/>
        <w:gridCol w:w="940"/>
        <w:gridCol w:w="708"/>
        <w:gridCol w:w="992"/>
        <w:gridCol w:w="709"/>
        <w:gridCol w:w="30"/>
      </w:tblGrid>
      <w:tr w:rsidR="00AF3A72" w:rsidRPr="00304924" w:rsidTr="001D77AB">
        <w:trPr>
          <w:trHeight w:val="255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AF3A72" w:rsidRPr="00304924" w:rsidRDefault="00AF3A72" w:rsidP="001D77A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B258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D7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1D77A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D7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1D77A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D7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1D77A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D7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3A72" w:rsidRPr="00304924" w:rsidTr="001D77AB">
        <w:trPr>
          <w:trHeight w:val="25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3A72" w:rsidRPr="00304924" w:rsidTr="001D77AB">
        <w:trPr>
          <w:trHeight w:val="25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7F58" w:rsidRPr="00304924" w:rsidTr="001D77AB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58" w:rsidRPr="00304924" w:rsidRDefault="000F7F58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0F7F58" w:rsidRPr="00304924" w:rsidRDefault="000F7F58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7F58" w:rsidRPr="00304924" w:rsidTr="001D77AB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58" w:rsidRPr="00304924" w:rsidRDefault="000F7F58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0" w:type="dxa"/>
            <w:vAlign w:val="center"/>
            <w:hideMark/>
          </w:tcPr>
          <w:p w:rsidR="000F7F58" w:rsidRPr="00304924" w:rsidRDefault="000F7F58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7F58" w:rsidRPr="00304924" w:rsidTr="001D77AB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58" w:rsidRPr="00304924" w:rsidRDefault="000F7F58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0" w:type="dxa"/>
            <w:vAlign w:val="center"/>
            <w:hideMark/>
          </w:tcPr>
          <w:p w:rsidR="000F7F58" w:rsidRPr="00304924" w:rsidRDefault="000F7F58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7F58" w:rsidRPr="00304924" w:rsidTr="001D77AB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58" w:rsidRPr="00304924" w:rsidRDefault="000F7F58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F58" w:rsidRPr="000F7F58" w:rsidRDefault="000F7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0" w:type="dxa"/>
            <w:vAlign w:val="center"/>
            <w:hideMark/>
          </w:tcPr>
          <w:p w:rsidR="000F7F58" w:rsidRPr="00304924" w:rsidRDefault="000F7F58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7BBC" w:rsidRPr="003E4912" w:rsidRDefault="00AC7BBC" w:rsidP="00AC7BB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489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96,3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при этом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0,3</w:t>
      </w:r>
      <w:r w:rsidR="000F5FAC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="0083476F"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составит в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снизившись к уровню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3,5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что выше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ожидаемой оценки исполнения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1,9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76F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собственных доходов 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так же</w:t>
      </w:r>
      <w:r w:rsidR="00547770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занимают налоговые доходы –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97,6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97,6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соответственно, </w:t>
      </w:r>
      <w:r w:rsidR="00F40DFD">
        <w:rPr>
          <w:rFonts w:ascii="Times New Roman" w:eastAsia="Times New Roman" w:hAnsi="Times New Roman" w:cs="Times New Roman"/>
          <w:sz w:val="24"/>
          <w:szCs w:val="24"/>
        </w:rPr>
        <w:t>что соответствует уровню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оценки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40D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Безвозмездные поступления в структуре доходов в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плановом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составят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по 2,1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BBC" w:rsidRPr="007474EE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4EE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</w:t>
      </w:r>
      <w:r w:rsidR="00E7796F" w:rsidRPr="007474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7474EE" w:rsidRPr="007474EE">
        <w:rPr>
          <w:rFonts w:ascii="Times New Roman" w:eastAsia="Times New Roman" w:hAnsi="Times New Roman" w:cs="Times New Roman"/>
          <w:sz w:val="24"/>
          <w:szCs w:val="24"/>
        </w:rPr>
        <w:t>11558,0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474EE" w:rsidRPr="007474E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20</w:t>
      </w:r>
      <w:r w:rsidR="00B64DDA" w:rsidRPr="007474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74EE" w:rsidRPr="007474E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7474EE" w:rsidRPr="007474EE">
        <w:rPr>
          <w:rFonts w:ascii="Times New Roman" w:eastAsia="Times New Roman" w:hAnsi="Times New Roman" w:cs="Times New Roman"/>
          <w:sz w:val="24"/>
          <w:szCs w:val="24"/>
        </w:rPr>
        <w:t>7397,4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474EE" w:rsidRPr="007474EE">
        <w:rPr>
          <w:rFonts w:ascii="Times New Roman" w:eastAsia="Times New Roman" w:hAnsi="Times New Roman" w:cs="Times New Roman"/>
          <w:sz w:val="24"/>
          <w:szCs w:val="24"/>
        </w:rPr>
        <w:t>39,0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>%. Темп роста налоговых доходов к предшествующему году в 202</w:t>
      </w:r>
      <w:r w:rsidR="007474EE" w:rsidRPr="007474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323C1" w:rsidRPr="0074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EE" w:rsidRPr="007474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23C1" w:rsidRPr="007474E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474EE" w:rsidRPr="007474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323C1" w:rsidRPr="007474EE">
        <w:rPr>
          <w:rFonts w:ascii="Times New Roman" w:eastAsia="Times New Roman" w:hAnsi="Times New Roman" w:cs="Times New Roman"/>
          <w:sz w:val="24"/>
          <w:szCs w:val="24"/>
        </w:rPr>
        <w:t xml:space="preserve"> годах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 xml:space="preserve">  прогнозируется в размере 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 xml:space="preserve"> -2,1</w:t>
      </w:r>
      <w:r w:rsidR="00D323C1" w:rsidRPr="007474E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4,4</w:t>
      </w:r>
      <w:r w:rsidR="00D323C1" w:rsidRPr="007474EE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7474EE" w:rsidRPr="007474EE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Наибольший удельный вес в структуре налоговых доходов традиционно занимает земельный налог </w:t>
      </w:r>
      <w:r w:rsidR="00D323C1" w:rsidRPr="007474E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EE" w:rsidRPr="007474EE">
        <w:rPr>
          <w:rFonts w:ascii="Times New Roman" w:eastAsia="Times New Roman" w:hAnsi="Times New Roman" w:cs="Times New Roman"/>
          <w:sz w:val="24"/>
          <w:szCs w:val="24"/>
        </w:rPr>
        <w:t>96,3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>%</w:t>
      </w:r>
      <w:r w:rsidR="007474EE" w:rsidRPr="0074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BBC" w:rsidRPr="0057233D" w:rsidRDefault="00AC7BBC" w:rsidP="00AC7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Прогнозируемое поступление налоговых и неналоговых доходов бюджета в 202</w:t>
      </w:r>
      <w:r w:rsidR="00C522C2"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202</w:t>
      </w:r>
      <w:r w:rsidR="00C522C2"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C522C2"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F41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6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709"/>
        <w:gridCol w:w="643"/>
        <w:gridCol w:w="708"/>
        <w:gridCol w:w="709"/>
      </w:tblGrid>
      <w:tr w:rsidR="0057430A" w:rsidRPr="001223F6" w:rsidTr="00AF41DF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B6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52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2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C2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7430A" w:rsidRPr="001223F6" w:rsidRDefault="0057430A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2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C2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C522C2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7430A" w:rsidRPr="001223F6" w:rsidRDefault="0057430A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2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57430A" w:rsidRPr="001223F6" w:rsidTr="00AF41DF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AF41DF" w:rsidRPr="001223F6" w:rsidTr="00AF41DF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2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2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2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2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2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C52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52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7796F" w:rsidRPr="001223F6" w:rsidTr="005A4F8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11317,0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-7397,4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502,1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104,4</w:t>
            </w:r>
          </w:p>
        </w:tc>
      </w:tr>
      <w:tr w:rsidR="00E7796F" w:rsidRPr="001223F6" w:rsidTr="005A4F8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</w:tr>
      <w:tr w:rsidR="00E7796F" w:rsidRPr="001223F6" w:rsidTr="005A4F88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109,7</w:t>
            </w:r>
          </w:p>
        </w:tc>
      </w:tr>
      <w:tr w:rsidR="00E7796F" w:rsidRPr="001223F6" w:rsidTr="005A4F88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101,1</w:t>
            </w:r>
          </w:p>
        </w:tc>
      </w:tr>
      <w:tr w:rsidR="00E7796F" w:rsidRPr="001223F6" w:rsidTr="005A4F88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11236,0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</w:tr>
      <w:tr w:rsidR="00E7796F" w:rsidRPr="001223F6" w:rsidTr="005A4F8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796F" w:rsidRPr="001223F6" w:rsidTr="005A4F8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796F" w:rsidRPr="001223F6" w:rsidTr="005A4F8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E7796F" w:rsidRPr="001223F6" w:rsidTr="005A4F8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7796F" w:rsidRPr="001223F6" w:rsidTr="005A4F8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796F" w:rsidRPr="001223F6" w:rsidTr="005A4F8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6F" w:rsidRPr="001223F6" w:rsidRDefault="00E7796F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6F" w:rsidRPr="00E7796F" w:rsidRDefault="00E7796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F" w:rsidRPr="00E7796F" w:rsidRDefault="00E7796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A0709F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95,0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E77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0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 xml:space="preserve"> на 20,0 тыс. рублей, или на 26,7%.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Расчет доходов бюджета по налогу на доходы физических лиц произведен исходя из ожидаемой оценки поступления налога в 20</w:t>
      </w:r>
      <w:r w:rsidR="00E032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3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C2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налога на доходы физических лиц в 20</w:t>
      </w:r>
      <w:r w:rsidR="00710B63" w:rsidRPr="00A070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4F2A97">
        <w:rPr>
          <w:rFonts w:ascii="Times New Roman" w:eastAsia="Times New Roman" w:hAnsi="Times New Roman" w:cs="Times New Roman"/>
          <w:sz w:val="24"/>
          <w:szCs w:val="24"/>
        </w:rPr>
        <w:t>5,3</w:t>
      </w:r>
      <w:r w:rsidR="00B354E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F2A97">
        <w:rPr>
          <w:rFonts w:ascii="Times New Roman" w:eastAsia="Times New Roman" w:hAnsi="Times New Roman" w:cs="Times New Roman"/>
          <w:sz w:val="24"/>
          <w:szCs w:val="24"/>
        </w:rPr>
        <w:t>10,0</w:t>
      </w:r>
      <w:r w:rsidR="00B354E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</w:p>
    <w:p w:rsidR="005204DF" w:rsidRPr="00A0709F" w:rsidRDefault="005204DF" w:rsidP="005204DF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F2A9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4F2A97">
        <w:rPr>
          <w:rFonts w:ascii="Times New Roman" w:eastAsia="Times New Roman" w:hAnsi="Times New Roman" w:cs="Times New Roman"/>
          <w:sz w:val="24"/>
          <w:szCs w:val="24"/>
        </w:rPr>
        <w:t>150,0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40703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F2A97">
        <w:rPr>
          <w:rFonts w:ascii="Times New Roman" w:eastAsia="Times New Roman" w:hAnsi="Times New Roman" w:cs="Times New Roman"/>
          <w:sz w:val="24"/>
          <w:szCs w:val="24"/>
        </w:rPr>
        <w:t xml:space="preserve">20,4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F2A97">
        <w:rPr>
          <w:rFonts w:ascii="Times New Roman" w:eastAsia="Times New Roman" w:hAnsi="Times New Roman" w:cs="Times New Roman"/>
          <w:sz w:val="24"/>
          <w:szCs w:val="24"/>
        </w:rPr>
        <w:t>12,0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2A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2A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F2A9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F2A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6714" w:rsidRDefault="005204DF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31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D0314A">
        <w:rPr>
          <w:rFonts w:ascii="Times New Roman" w:eastAsia="Times New Roman" w:hAnsi="Times New Roman" w:cs="Times New Roman"/>
          <w:sz w:val="24"/>
          <w:szCs w:val="24"/>
        </w:rPr>
        <w:t>186,0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0314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314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0314A">
        <w:rPr>
          <w:rFonts w:ascii="Times New Roman" w:eastAsia="Times New Roman" w:hAnsi="Times New Roman" w:cs="Times New Roman"/>
          <w:sz w:val="24"/>
          <w:szCs w:val="24"/>
        </w:rPr>
        <w:t>24,0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0314A">
        <w:rPr>
          <w:rFonts w:ascii="Times New Roman" w:eastAsia="Times New Roman" w:hAnsi="Times New Roman" w:cs="Times New Roman"/>
          <w:sz w:val="24"/>
          <w:szCs w:val="24"/>
        </w:rPr>
        <w:t>на 11,4%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314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31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D0314A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11127,0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7373,0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39,9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96,3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56236" w:rsidRDefault="0057430A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236"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="00956236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30A" w:rsidRDefault="0057430A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714" w:rsidRDefault="00A0709F" w:rsidP="0075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="00756714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EC8" w:rsidRPr="00A0709F" w:rsidRDefault="00841EC8" w:rsidP="0075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310929">
        <w:rPr>
          <w:rFonts w:ascii="Times New Roman" w:eastAsia="Times New Roman" w:hAnsi="Times New Roman" w:cs="Times New Roman"/>
          <w:sz w:val="24"/>
          <w:szCs w:val="24"/>
        </w:rPr>
        <w:t>33,0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763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41EC8" w:rsidRDefault="00841EC8" w:rsidP="0084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841EC8" w:rsidRDefault="00841EC8" w:rsidP="0084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841EC8" w:rsidRPr="00CE6D61" w:rsidRDefault="00841EC8" w:rsidP="00841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D61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CE6D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CE6D61">
        <w:rPr>
          <w:rFonts w:ascii="Times New Roman" w:eastAsia="Times New Roman" w:hAnsi="Times New Roman" w:cs="Times New Roman"/>
          <w:sz w:val="24"/>
          <w:szCs w:val="24"/>
        </w:rPr>
        <w:t>416,5</w:t>
      </w:r>
      <w:r w:rsidR="00A42552" w:rsidRPr="00CE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CE6D6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20</w:t>
      </w:r>
      <w:r w:rsidR="00A42552" w:rsidRPr="00CE6D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6D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CE6D61">
        <w:rPr>
          <w:rFonts w:ascii="Times New Roman" w:eastAsia="Times New Roman" w:hAnsi="Times New Roman" w:cs="Times New Roman"/>
          <w:sz w:val="24"/>
          <w:szCs w:val="24"/>
        </w:rPr>
        <w:t>112,2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2F13F3" w:rsidRPr="00CE6D6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E6D61">
        <w:rPr>
          <w:rFonts w:ascii="Times New Roman" w:eastAsia="Times New Roman" w:hAnsi="Times New Roman" w:cs="Times New Roman"/>
          <w:sz w:val="24"/>
          <w:szCs w:val="24"/>
        </w:rPr>
        <w:t>36,9</w:t>
      </w:r>
      <w:r w:rsidR="002F13F3" w:rsidRPr="00CE6D6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6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202</w:t>
      </w:r>
      <w:r w:rsidR="00CE6D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CE6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CE6D61">
        <w:rPr>
          <w:rFonts w:ascii="Times New Roman" w:eastAsia="Times New Roman" w:hAnsi="Times New Roman" w:cs="Times New Roman"/>
          <w:sz w:val="24"/>
          <w:szCs w:val="24"/>
        </w:rPr>
        <w:t>3,5</w:t>
      </w:r>
      <w:r w:rsidRPr="00CE6D6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Pr="00CE6D61" w:rsidRDefault="00B92758" w:rsidP="00B927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6D61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2758" w:rsidRPr="00DB38E6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665383"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00A08"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87DE9"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65383"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 w:rsidR="00862084"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87DE9"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DB38E6"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87DE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D14B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2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0B46E0" w:rsidRPr="00967271" w:rsidTr="00887DE9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8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8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8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8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0B46E0" w:rsidRPr="00967271" w:rsidTr="00887DE9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722E5A" w:rsidRPr="00967271" w:rsidTr="00887DE9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8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8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8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8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8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887D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8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13D61" w:rsidRPr="00967271" w:rsidTr="005A4F88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61" w:rsidRPr="00967271" w:rsidRDefault="00D13D61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416,5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103,3</w:t>
            </w:r>
          </w:p>
        </w:tc>
      </w:tr>
      <w:tr w:rsidR="00D13D61" w:rsidRPr="00967271" w:rsidTr="005A4F88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61" w:rsidRPr="004133FC" w:rsidRDefault="00D13D61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9C04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9C04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13D61" w:rsidRPr="00967271" w:rsidTr="005A4F88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61" w:rsidRPr="004133FC" w:rsidRDefault="00D13D61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61" w:rsidRPr="00D13D61" w:rsidRDefault="00FD1704" w:rsidP="00FD1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13D61" w:rsidRPr="00967271" w:rsidTr="005A4F8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61" w:rsidRPr="004133FC" w:rsidRDefault="00D13D61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D61" w:rsidRPr="00D13D61" w:rsidRDefault="00D13D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</w:tr>
    </w:tbl>
    <w:p w:rsidR="00F52FEB" w:rsidRPr="0084106A" w:rsidRDefault="00F52FEB" w:rsidP="00F52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07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FA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D92FA0">
        <w:rPr>
          <w:rFonts w:ascii="Times New Roman" w:eastAsia="Times New Roman" w:hAnsi="Times New Roman" w:cs="Times New Roman"/>
          <w:sz w:val="24"/>
          <w:szCs w:val="24"/>
        </w:rPr>
        <w:t>237,7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92FA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2FA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92FA0">
        <w:rPr>
          <w:rFonts w:ascii="Times New Roman" w:eastAsia="Times New Roman" w:hAnsi="Times New Roman" w:cs="Times New Roman"/>
          <w:sz w:val="24"/>
          <w:szCs w:val="24"/>
        </w:rPr>
        <w:t>10,4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D92FA0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Субвенции занимают н</w:t>
      </w:r>
      <w:r w:rsidR="009353C1" w:rsidRPr="0084106A">
        <w:rPr>
          <w:rFonts w:ascii="Times New Roman" w:eastAsia="Times New Roman" w:hAnsi="Times New Roman" w:cs="Times New Roman"/>
          <w:sz w:val="24"/>
          <w:szCs w:val="24"/>
        </w:rPr>
        <w:t xml:space="preserve">аибольший удельный вес в структуре безвозмездных поступлений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FA0">
        <w:rPr>
          <w:rFonts w:ascii="Times New Roman" w:eastAsia="Times New Roman" w:hAnsi="Times New Roman" w:cs="Times New Roman"/>
          <w:sz w:val="24"/>
          <w:szCs w:val="24"/>
        </w:rPr>
        <w:t>74,2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7D207F" w:rsidRPr="00A47907" w:rsidRDefault="007D207F" w:rsidP="00A47907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7907">
        <w:rPr>
          <w:rFonts w:ascii="Times New Roman" w:eastAsia="Times New Roman" w:hAnsi="Times New Roman" w:cs="Times New Roman"/>
          <w:b/>
          <w:bCs/>
          <w:sz w:val="24"/>
          <w:szCs w:val="24"/>
        </w:rPr>
        <w:t>Субсидии</w:t>
      </w:r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2022 году предусмотрены в объеме 178,7 тыс. рублей на </w:t>
      </w:r>
      <w:proofErr w:type="spellStart"/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расходов по федеральной целевой программе «Увековечивание памяти погибших при защите отечества</w:t>
      </w:r>
      <w:r w:rsidR="00A47907" w:rsidRPr="00A4790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2019-2024 годы</w:t>
      </w:r>
      <w:r w:rsidR="00A47907" w:rsidRPr="00A479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3CDE" w:rsidRPr="009C3B81" w:rsidRDefault="00A73CDE" w:rsidP="00A73CDE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B8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73CDE" w:rsidRPr="00CD3437" w:rsidRDefault="00A73CDE" w:rsidP="00A73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81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>Овчинского</w:t>
      </w:r>
      <w:proofErr w:type="spellEnd"/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202</w:t>
      </w:r>
      <w:r w:rsidR="00F90F8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</w:t>
      </w:r>
      <w:r w:rsidR="009C3B81" w:rsidRPr="00CD3437">
        <w:rPr>
          <w:rFonts w:ascii="Times New Roman" w:eastAsia="Times New Roman" w:hAnsi="Times New Roman" w:cs="Times New Roman"/>
          <w:bCs/>
          <w:sz w:val="24"/>
          <w:szCs w:val="24"/>
        </w:rPr>
        <w:t>период 202</w:t>
      </w:r>
      <w:r w:rsidR="00F90F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C3B81" w:rsidRPr="00CD343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F90F8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C3B81" w:rsidRPr="00CD343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="009C3B81" w:rsidRPr="00CD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90F80">
        <w:rPr>
          <w:rFonts w:ascii="Times New Roman" w:eastAsia="Times New Roman" w:hAnsi="Times New Roman" w:cs="Times New Roman"/>
          <w:sz w:val="24"/>
          <w:szCs w:val="24"/>
        </w:rPr>
        <w:t>12007,5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F90F80">
        <w:rPr>
          <w:rFonts w:ascii="Times New Roman" w:eastAsia="Times New Roman" w:hAnsi="Times New Roman" w:cs="Times New Roman"/>
          <w:sz w:val="24"/>
          <w:szCs w:val="24"/>
        </w:rPr>
        <w:t>11959,4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F90F80">
        <w:rPr>
          <w:rFonts w:ascii="Times New Roman" w:eastAsia="Times New Roman" w:hAnsi="Times New Roman" w:cs="Times New Roman"/>
          <w:sz w:val="24"/>
          <w:szCs w:val="24"/>
        </w:rPr>
        <w:t>12105,7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соответственно. По отношению к объему расходов, ожидаемому в</w:t>
      </w:r>
      <w:r w:rsidRPr="00CD34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</w:t>
      </w:r>
      <w:r w:rsidR="009C3B81" w:rsidRPr="00CD3437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F90F80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CD34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году расходы, определенные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202</w:t>
      </w:r>
      <w:r w:rsidR="00F90F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6D10E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90F80">
        <w:rPr>
          <w:rFonts w:ascii="Times New Roman" w:eastAsia="Times New Roman" w:hAnsi="Times New Roman" w:cs="Times New Roman"/>
          <w:sz w:val="24"/>
          <w:szCs w:val="24"/>
        </w:rPr>
        <w:t>7036,2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F90F80">
        <w:rPr>
          <w:rFonts w:ascii="Times New Roman" w:eastAsia="Times New Roman" w:hAnsi="Times New Roman" w:cs="Times New Roman"/>
          <w:sz w:val="24"/>
          <w:szCs w:val="24"/>
        </w:rPr>
        <w:t>в 2,4 раза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CDE" w:rsidRPr="00CD3437" w:rsidRDefault="00A73CDE" w:rsidP="00A73CDE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4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537C2D"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929D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C929D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Pr="00CD3437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437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537C2D" w:rsidRPr="00CD34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3CDE" w:rsidRPr="00CD343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CD3437" w:rsidRPr="00CD3437" w:rsidTr="00DE0FCB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3322E5" w:rsidRPr="00CD3437" w:rsidRDefault="003322E5" w:rsidP="00C92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20</w:t>
            </w:r>
            <w:r w:rsidR="00986028"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92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C92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C92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C92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C92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C92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C92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3322E5" w:rsidRPr="003322E5" w:rsidTr="00DE0FCB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2E5" w:rsidRPr="003322E5" w:rsidRDefault="003322E5" w:rsidP="003322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2E5" w:rsidRPr="003322E5" w:rsidRDefault="003322E5" w:rsidP="003322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E80DFE" w:rsidRPr="003322E5" w:rsidTr="00887F30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2964,0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6760,2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6760,2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6760,2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</w:t>
            </w:r>
          </w:p>
        </w:tc>
      </w:tr>
      <w:tr w:rsidR="00E80DFE" w:rsidRPr="003322E5" w:rsidTr="00887F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E80DFE" w:rsidRPr="003322E5" w:rsidTr="00887F30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E80DFE" w:rsidRPr="003322E5" w:rsidTr="00887F30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E80DFE" w:rsidRPr="003322E5" w:rsidTr="00887F30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</w:tr>
      <w:tr w:rsidR="00E80DFE" w:rsidRPr="003322E5" w:rsidTr="00887F3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E80DFE" w:rsidRPr="003322E5" w:rsidTr="00887F3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3322E5" w:rsidRDefault="00E80DFE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3322E5" w:rsidRDefault="00E80DFE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E80DFE" w:rsidRPr="003322E5" w:rsidTr="00887F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FE" w:rsidRPr="003322E5" w:rsidRDefault="00E80DFE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4971,3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DFE" w:rsidRPr="00E80DFE" w:rsidRDefault="00E80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322E5" w:rsidRPr="003322E5" w:rsidRDefault="003322E5" w:rsidP="0033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3E6225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8166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8166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8166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годов являются общегосударственные вопросы –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56,3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56,5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55,8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Второй по значимости раздел 05 «ЖИЛИЩНО-КОММУНАЛЬНОЕ ХОЗЯЙСТВО»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занимает  39,4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36,6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34,7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3322E5" w:rsidRPr="003322E5" w:rsidRDefault="003322E5" w:rsidP="00332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проекте бюджета занимают расходы по  разделу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Социальное обеспечение населения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», объем которых составляет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по 0,7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расходов по отраслям так называемого «социального блока» (культура, социальная политика) в 202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3322E5" w:rsidRPr="003322E5" w:rsidRDefault="003322E5" w:rsidP="003322E5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 w:rsidR="002F07FF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8B66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F07FF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12"/>
        <w:tblW w:w="9283" w:type="dxa"/>
        <w:tblLayout w:type="fixed"/>
        <w:tblLook w:val="04A0" w:firstRow="1" w:lastRow="0" w:firstColumn="1" w:lastColumn="0" w:noHBand="0" w:noVBand="1"/>
      </w:tblPr>
      <w:tblGrid>
        <w:gridCol w:w="1809"/>
        <w:gridCol w:w="447"/>
        <w:gridCol w:w="752"/>
        <w:gridCol w:w="744"/>
        <w:gridCol w:w="739"/>
        <w:gridCol w:w="720"/>
        <w:gridCol w:w="678"/>
        <w:gridCol w:w="688"/>
        <w:gridCol w:w="619"/>
        <w:gridCol w:w="670"/>
        <w:gridCol w:w="709"/>
        <w:gridCol w:w="708"/>
      </w:tblGrid>
      <w:tr w:rsidR="0010028D" w:rsidRPr="00303D97" w:rsidTr="00FA353C">
        <w:tc>
          <w:tcPr>
            <w:tcW w:w="1809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дел</w:t>
            </w:r>
          </w:p>
        </w:tc>
        <w:tc>
          <w:tcPr>
            <w:tcW w:w="752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Ожидаемое </w:t>
            </w: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нение</w:t>
            </w:r>
            <w:proofErr w:type="spellEnd"/>
          </w:p>
          <w:p w:rsidR="0010028D" w:rsidRPr="00303D97" w:rsidRDefault="0010028D" w:rsidP="008B66C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20</w:t>
            </w:r>
            <w:r w:rsidR="00135957"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="008B66CA"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ноз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202</w:t>
            </w:r>
            <w:r w:rsidR="008B66CA"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года</w:t>
            </w:r>
          </w:p>
        </w:tc>
        <w:tc>
          <w:tcPr>
            <w:tcW w:w="739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ноз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202</w:t>
            </w:r>
            <w:r w:rsidR="008B66CA"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года</w:t>
            </w:r>
          </w:p>
        </w:tc>
        <w:tc>
          <w:tcPr>
            <w:tcW w:w="720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ноз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202</w:t>
            </w:r>
            <w:r w:rsidR="008B66CA"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Темп роста доходов, %</w:t>
            </w:r>
          </w:p>
        </w:tc>
      </w:tr>
      <w:tr w:rsidR="0010028D" w:rsidRPr="0010028D" w:rsidTr="00FA353C">
        <w:tc>
          <w:tcPr>
            <w:tcW w:w="1809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8501A1" w:rsidRPr="0010028D" w:rsidTr="00FA353C">
        <w:tc>
          <w:tcPr>
            <w:tcW w:w="1809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8501A1" w:rsidRPr="0010028D" w:rsidRDefault="008501A1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B66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:rsidR="008501A1" w:rsidRPr="0010028D" w:rsidRDefault="008501A1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B66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8501A1" w:rsidRPr="0010028D" w:rsidRDefault="008501A1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B66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</w:tcPr>
          <w:p w:rsidR="008501A1" w:rsidRPr="0010028D" w:rsidRDefault="008501A1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B66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501A1" w:rsidRPr="0010028D" w:rsidRDefault="008501A1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B66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501A1" w:rsidRPr="0010028D" w:rsidRDefault="008501A1" w:rsidP="008B66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B66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D97" w:rsidRPr="0010028D" w:rsidTr="005A4F88">
        <w:tc>
          <w:tcPr>
            <w:tcW w:w="1809" w:type="dxa"/>
          </w:tcPr>
          <w:p w:rsidR="00303D97" w:rsidRPr="0010028D" w:rsidRDefault="00303D97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303D97" w:rsidRPr="0010028D" w:rsidRDefault="00303D97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2964,0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6760,2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6760,2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6760,2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3796,2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03D97" w:rsidRPr="0010028D" w:rsidTr="005A4F88">
        <w:tc>
          <w:tcPr>
            <w:tcW w:w="1809" w:type="dxa"/>
          </w:tcPr>
          <w:p w:rsidR="00303D97" w:rsidRPr="0010028D" w:rsidRDefault="00303D97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303D97" w:rsidRPr="0010028D" w:rsidRDefault="00303D97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227,3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253,7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103,4</w:t>
            </w:r>
          </w:p>
        </w:tc>
      </w:tr>
      <w:tr w:rsidR="00303D97" w:rsidRPr="0010028D" w:rsidTr="005A4F88">
        <w:tc>
          <w:tcPr>
            <w:tcW w:w="1809" w:type="dxa"/>
          </w:tcPr>
          <w:p w:rsidR="00303D97" w:rsidRPr="0010028D" w:rsidRDefault="00303D97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303D97" w:rsidRPr="0010028D" w:rsidRDefault="00303D97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03D97" w:rsidRPr="00303D97" w:rsidRDefault="00A61B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03D97" w:rsidRPr="0010028D" w:rsidTr="005A4F88">
        <w:tc>
          <w:tcPr>
            <w:tcW w:w="1809" w:type="dxa"/>
          </w:tcPr>
          <w:p w:rsidR="00303D97" w:rsidRPr="0010028D" w:rsidRDefault="00303D97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303D97" w:rsidRPr="0010028D" w:rsidRDefault="00303D97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03D97" w:rsidRPr="00303D97" w:rsidRDefault="00A61B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03D97" w:rsidRPr="0010028D" w:rsidTr="005A4F88">
        <w:tc>
          <w:tcPr>
            <w:tcW w:w="1809" w:type="dxa"/>
          </w:tcPr>
          <w:p w:rsidR="00303D97" w:rsidRPr="0010028D" w:rsidRDefault="00303D97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303D97" w:rsidRPr="0010028D" w:rsidRDefault="00303D97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4729,5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4374,8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4206,5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3029,5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-354,7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-168,3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303D97" w:rsidRPr="0010028D" w:rsidTr="005A4F88">
        <w:tc>
          <w:tcPr>
            <w:tcW w:w="1809" w:type="dxa"/>
          </w:tcPr>
          <w:p w:rsidR="00303D97" w:rsidRPr="0010028D" w:rsidRDefault="00303D97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303D97" w:rsidRPr="0010028D" w:rsidRDefault="00303D97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03D97" w:rsidRPr="0010028D" w:rsidTr="005A4F88">
        <w:tc>
          <w:tcPr>
            <w:tcW w:w="1809" w:type="dxa"/>
          </w:tcPr>
          <w:p w:rsidR="00303D97" w:rsidRPr="0010028D" w:rsidRDefault="00303D97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303D97" w:rsidRPr="0010028D" w:rsidRDefault="00303D97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202,4</w:t>
            </w:r>
          </w:p>
        </w:tc>
      </w:tr>
      <w:tr w:rsidR="00303D97" w:rsidRPr="0010028D" w:rsidTr="005A4F88">
        <w:tc>
          <w:tcPr>
            <w:tcW w:w="1809" w:type="dxa"/>
            <w:shd w:val="clear" w:color="auto" w:fill="FFFFFF" w:themeFill="background1"/>
          </w:tcPr>
          <w:p w:rsidR="00303D97" w:rsidRPr="0010028D" w:rsidRDefault="00303D97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FFFFFF" w:themeFill="background1"/>
          </w:tcPr>
          <w:p w:rsidR="00303D97" w:rsidRPr="0010028D" w:rsidRDefault="00303D97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4971,3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12007,5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11959,4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12105,7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7036,2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-48,1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03D97" w:rsidRPr="00303D97" w:rsidRDefault="00303D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101,2</w:t>
            </w:r>
          </w:p>
        </w:tc>
      </w:tr>
    </w:tbl>
    <w:p w:rsidR="0010028D" w:rsidRPr="000C34C0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34C0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0C3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0C34C0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A4F8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5A4F88">
        <w:rPr>
          <w:rFonts w:ascii="Times New Roman" w:eastAsia="Calibri" w:hAnsi="Times New Roman" w:cs="Times New Roman"/>
          <w:sz w:val="24"/>
          <w:szCs w:val="24"/>
          <w:lang w:eastAsia="en-US"/>
        </w:rPr>
        <w:t>6760,2</w:t>
      </w:r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21216"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</w:t>
      </w:r>
      <w:r w:rsidR="00566077">
        <w:rPr>
          <w:rFonts w:ascii="Times New Roman" w:eastAsia="Calibri" w:hAnsi="Times New Roman" w:cs="Times New Roman"/>
          <w:sz w:val="24"/>
          <w:szCs w:val="24"/>
          <w:lang w:eastAsia="en-US"/>
        </w:rPr>
        <w:t>+3796,2</w:t>
      </w:r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>)тыс. рублей, или</w:t>
      </w:r>
      <w:r w:rsidR="005660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2,3 раза выше</w:t>
      </w:r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  <w:r w:rsidR="008F1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8F1D1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8F1D11">
        <w:rPr>
          <w:rFonts w:ascii="Times New Roman" w:eastAsia="Calibri" w:hAnsi="Times New Roman" w:cs="Times New Roman"/>
          <w:sz w:val="24"/>
          <w:szCs w:val="24"/>
          <w:lang w:eastAsia="en-US"/>
        </w:rPr>
        <w:t>6760,2</w:t>
      </w:r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21216"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BB35E9"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>;       20</w:t>
      </w:r>
      <w:r w:rsidRPr="000C34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63C5" w:rsidRPr="000C34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34C0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8F1D11">
        <w:rPr>
          <w:rFonts w:ascii="Times New Roman" w:eastAsia="Times New Roman" w:hAnsi="Times New Roman" w:cs="Times New Roman"/>
          <w:sz w:val="24"/>
          <w:szCs w:val="24"/>
        </w:rPr>
        <w:t>6760,2</w:t>
      </w:r>
      <w:r w:rsidR="002937A9" w:rsidRPr="000C3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4C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proofErr w:type="gramEnd"/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C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8F1D11">
        <w:rPr>
          <w:rFonts w:ascii="Times New Roman" w:eastAsia="Times New Roman" w:hAnsi="Times New Roman" w:cs="Times New Roman"/>
          <w:sz w:val="24"/>
          <w:szCs w:val="24"/>
        </w:rPr>
        <w:t>56,3</w:t>
      </w:r>
      <w:r w:rsidRPr="000C34C0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>Расходы данного раздела в 202</w:t>
      </w:r>
      <w:r w:rsidR="008F1D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</w:t>
      </w: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 - обеспечение деятельности сельской администрации в сумме </w:t>
      </w:r>
      <w:r w:rsidR="008F1D11">
        <w:rPr>
          <w:rFonts w:ascii="Times New Roman" w:eastAsia="Times New Roman" w:hAnsi="Times New Roman" w:cs="Times New Roman"/>
          <w:sz w:val="24"/>
          <w:szCs w:val="24"/>
        </w:rPr>
        <w:t>1709,7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деятельности финансовых, налоговых и таможенных  органов и органов финансового (финансово-бюджетного) надзора» - 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обеспечение проведения выборов, референдумов в сумме 0,0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8F1D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30D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«Другие общегосударственные вопросы» - другие общегосударственные вопросы в сумме </w:t>
      </w:r>
      <w:r w:rsidR="008F1D11">
        <w:rPr>
          <w:rFonts w:ascii="Times New Roman" w:eastAsia="Times New Roman" w:hAnsi="Times New Roman" w:cs="Times New Roman"/>
          <w:sz w:val="24"/>
          <w:szCs w:val="24"/>
        </w:rPr>
        <w:t>5000,0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237,7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+10,4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4,6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245,4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;            2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02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253,6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202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на осуществление первичного воинского учета на территориях, где отсутствуют военные комиссариаты по подразделу 0203 «Мобилизационная и вневойсковая подготовка».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202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+100,0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100,0%</w:t>
      </w:r>
      <w:proofErr w:type="gramStart"/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proofErr w:type="gramEnd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30FB6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2020 году предусмотрены на осуществление противопожарной безопасности.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,0 тыс.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+100,0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011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011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,0 тыс. руб.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>Удельный вес данного раздела в общих расходах составит  0,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4729,5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+3029,5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в 2,8 раза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4374,8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895C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4206,5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данного раздела в общих расходах составит 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39,4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28D" w:rsidRP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обеспечение освещения улиц –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541,0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2000,0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–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2000,0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C75ED" w:rsidRPr="00A47907" w:rsidRDefault="005C75ED" w:rsidP="005C75ED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Восстановление (ремонт, реставрация, благоустройство) воинских захоронений в рамках </w:t>
      </w:r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>федеральной целевой 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«Увековечивание памяти погибших при защите отечества» на 2019-2024 годы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188,6 тыс. рублей (178,2 тыс. рублей областной бюджет, 9,8 тыс. рублей  средства поселения)</w:t>
      </w:r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0028D" w:rsidRPr="0010028D" w:rsidRDefault="00C75A08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10028D"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10 «Социальная политика»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C75E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D3B61">
        <w:rPr>
          <w:rFonts w:ascii="Times New Roman" w:eastAsia="Calibri" w:hAnsi="Times New Roman" w:cs="Times New Roman"/>
          <w:sz w:val="24"/>
          <w:szCs w:val="24"/>
          <w:lang w:eastAsia="en-US"/>
        </w:rPr>
        <w:t>80,0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11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86FA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86FA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C75E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D3B61">
        <w:rPr>
          <w:rFonts w:ascii="Times New Roman" w:eastAsia="Calibri" w:hAnsi="Times New Roman" w:cs="Times New Roman"/>
          <w:sz w:val="24"/>
          <w:szCs w:val="24"/>
          <w:lang w:eastAsia="en-US"/>
        </w:rPr>
        <w:t>80,0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11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3D3B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D3B61">
        <w:rPr>
          <w:rFonts w:ascii="Times New Roman" w:eastAsia="Times New Roman" w:hAnsi="Times New Roman" w:cs="Times New Roman"/>
          <w:sz w:val="24"/>
          <w:szCs w:val="24"/>
        </w:rPr>
        <w:t>80,0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10 01 </w:t>
      </w:r>
      <w:r w:rsidRPr="0010028D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 выплату муниципальных пенсий.</w:t>
      </w:r>
    </w:p>
    <w:p w:rsidR="0010028D" w:rsidRPr="0010028D" w:rsidRDefault="0010028D" w:rsidP="001002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10028D" w:rsidRPr="0010028D" w:rsidRDefault="0010028D" w:rsidP="0010028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299,0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605,3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ст. 184.1 Бюджетного кодекса РФ соблюдено.</w:t>
      </w:r>
    </w:p>
    <w:p w:rsidR="007D2257" w:rsidRPr="0074328D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8D"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proofErr w:type="spellStart"/>
      <w:r w:rsidR="00801CDA" w:rsidRPr="0074328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7432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 </w:t>
      </w:r>
      <w:proofErr w:type="spellStart"/>
      <w:r w:rsidR="00801CDA" w:rsidRPr="0074328D">
        <w:rPr>
          <w:rFonts w:ascii="Times New Roman" w:eastAsia="Times New Roman" w:hAnsi="Times New Roman" w:cs="Times New Roman"/>
          <w:sz w:val="24"/>
          <w:szCs w:val="24"/>
        </w:rPr>
        <w:t>Овчинская</w:t>
      </w:r>
      <w:proofErr w:type="spellEnd"/>
      <w:r w:rsidRPr="0074328D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DB6920" w:rsidRPr="001019F1" w:rsidRDefault="00DB6920" w:rsidP="00DB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4B70E0" w:rsidRPr="001019F1">
        <w:rPr>
          <w:rFonts w:ascii="Times New Roman" w:eastAsia="Times New Roman" w:hAnsi="Times New Roman" w:cs="Times New Roman"/>
          <w:sz w:val="24"/>
          <w:szCs w:val="24"/>
        </w:rPr>
        <w:t>бюджет сбалансирован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019F1">
        <w:rPr>
          <w:rFonts w:ascii="Times New Roman" w:eastAsia="Times New Roman" w:hAnsi="Times New Roman" w:cs="Times New Roman"/>
          <w:sz w:val="24"/>
          <w:szCs w:val="24"/>
        </w:rPr>
        <w:t>Согласно  проекта</w:t>
      </w:r>
      <w:proofErr w:type="gramEnd"/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 (приложение №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Проектом решения утверждены источники внутреннего финансирования дефицита бюджета на 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2B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782B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2B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>ов (приложение №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6920" w:rsidRDefault="00DB6920" w:rsidP="00DB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п. 3 ст. 92.1 Бюджетного кодекса РФ соблюдены.</w:t>
      </w:r>
    </w:p>
    <w:p w:rsidR="005475A8" w:rsidRDefault="005475A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758" w:rsidRPr="00CC1FD0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BD5918"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2B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двумя муниципальными программами.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CC1FD0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r w:rsidR="00D30DF9" w:rsidRPr="00CC1FD0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Pr="00CC1FD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3F6B36" w:rsidRPr="00CC1F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2B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2B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Pr="00CC1FD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3F6B36" w:rsidRPr="00CC1F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2B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2B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4A71EB" w:rsidRPr="00574730" w:rsidRDefault="004A71EB" w:rsidP="0024740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74730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 xml:space="preserve">нарушение </w:t>
      </w:r>
      <w:r w:rsidRPr="00574730">
        <w:rPr>
          <w:rFonts w:ascii="Times New Roman" w:hAnsi="Times New Roman"/>
          <w:b/>
          <w:i/>
          <w:sz w:val="24"/>
          <w:szCs w:val="24"/>
        </w:rPr>
        <w:t xml:space="preserve"> ч. 2 ст. 179 </w:t>
      </w:r>
      <w:r w:rsidRPr="00574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Pr="00574730">
        <w:rPr>
          <w:rFonts w:ascii="Times New Roman" w:hAnsi="Times New Roman"/>
          <w:b/>
          <w:i/>
          <w:sz w:val="24"/>
          <w:szCs w:val="24"/>
        </w:rPr>
        <w:t>муниципальны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>е</w:t>
      </w:r>
      <w:r w:rsidRPr="005747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proofErr w:type="spellStart"/>
      <w:r w:rsidR="00574730" w:rsidRPr="00574730">
        <w:rPr>
          <w:rFonts w:ascii="Times New Roman" w:hAnsi="Times New Roman"/>
          <w:b/>
          <w:i/>
          <w:sz w:val="24"/>
          <w:szCs w:val="24"/>
        </w:rPr>
        <w:t>Овчинского</w:t>
      </w:r>
      <w:proofErr w:type="spellEnd"/>
      <w:r w:rsidR="00574730" w:rsidRPr="00574730">
        <w:rPr>
          <w:rFonts w:ascii="Times New Roman" w:hAnsi="Times New Roman"/>
          <w:b/>
          <w:i/>
          <w:sz w:val="24"/>
          <w:szCs w:val="24"/>
        </w:rPr>
        <w:t xml:space="preserve"> сельского поселения </w:t>
      </w:r>
      <w:r w:rsidRPr="00574730">
        <w:rPr>
          <w:rFonts w:ascii="Times New Roman" w:hAnsi="Times New Roman"/>
          <w:b/>
          <w:i/>
          <w:sz w:val="24"/>
          <w:szCs w:val="24"/>
        </w:rPr>
        <w:t>утвержден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 xml:space="preserve">ы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после внесения проекта бюджета в Контрольно-счетную палату Суражского муниципального района (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 xml:space="preserve">постановления </w:t>
      </w:r>
      <w:proofErr w:type="spellStart"/>
      <w:r w:rsidR="00574730" w:rsidRPr="00574730">
        <w:rPr>
          <w:rFonts w:ascii="Times New Roman" w:hAnsi="Times New Roman"/>
          <w:b/>
          <w:i/>
          <w:sz w:val="24"/>
          <w:szCs w:val="24"/>
        </w:rPr>
        <w:t>О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>вчинской</w:t>
      </w:r>
      <w:proofErr w:type="spellEnd"/>
      <w:r w:rsidR="00AF075E" w:rsidRPr="00574730">
        <w:rPr>
          <w:rFonts w:ascii="Times New Roman" w:hAnsi="Times New Roman"/>
          <w:b/>
          <w:i/>
          <w:sz w:val="24"/>
          <w:szCs w:val="24"/>
        </w:rPr>
        <w:t xml:space="preserve"> сельской администрации от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17.11.2021г. №83, №84)</w:t>
      </w:r>
      <w:r w:rsidRPr="00574730">
        <w:rPr>
          <w:rFonts w:ascii="Times New Roman" w:hAnsi="Times New Roman"/>
          <w:b/>
          <w:i/>
          <w:sz w:val="24"/>
          <w:szCs w:val="24"/>
        </w:rPr>
        <w:t>.</w:t>
      </w:r>
    </w:p>
    <w:p w:rsidR="00BD5918" w:rsidRPr="0057473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74730">
        <w:rPr>
          <w:rFonts w:ascii="Times New Roman" w:eastAsia="Times New Roman" w:hAnsi="Times New Roman" w:cs="Times New Roman"/>
          <w:sz w:val="24"/>
          <w:szCs w:val="24"/>
        </w:rPr>
        <w:t>Овчинском</w:t>
      </w:r>
      <w:proofErr w:type="spellEnd"/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разрабатываются в соответствии с Порядком, утвержденным  Постановлением </w:t>
      </w:r>
      <w:proofErr w:type="spellStart"/>
      <w:r w:rsidRPr="00574730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30.10.2014 года №240</w:t>
      </w:r>
      <w:r w:rsidR="00D30DF9" w:rsidRPr="00574730">
        <w:rPr>
          <w:rFonts w:ascii="Times New Roman" w:eastAsia="Times New Roman" w:hAnsi="Times New Roman" w:cs="Times New Roman"/>
          <w:sz w:val="24"/>
          <w:szCs w:val="24"/>
        </w:rPr>
        <w:t>-а</w:t>
      </w:r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57473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</w:t>
      </w:r>
    </w:p>
    <w:p w:rsidR="00161B9A" w:rsidRPr="00D77815" w:rsidRDefault="00161B9A" w:rsidP="0016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4730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</w:t>
      </w:r>
      <w:r w:rsidRPr="0039071D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918" w:rsidRPr="00F03DC8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Pr="00F03DC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05D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</w:t>
      </w:r>
      <w:r w:rsidR="006B5628" w:rsidRPr="00F03D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5D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05D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ов»  расходы на реализацию целевых программ  в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05D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 xml:space="preserve">11957,0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  соответствует </w:t>
      </w:r>
      <w:r w:rsidR="00477C32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77C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6985,7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в 2,4 раза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6AC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52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394"/>
        <w:gridCol w:w="992"/>
        <w:gridCol w:w="993"/>
        <w:gridCol w:w="1134"/>
        <w:gridCol w:w="1103"/>
      </w:tblGrid>
      <w:tr w:rsidR="00012EED" w:rsidRPr="00F619E9" w:rsidTr="005465CF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мое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665383" w:rsidP="00105D21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34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05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105D21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66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05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6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9B1FA3" w:rsidRPr="00F619E9" w:rsidTr="00842AE0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F619E9" w:rsidRDefault="009B1FA3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F619E9" w:rsidRDefault="009B1FA3" w:rsidP="00634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A3">
              <w:rPr>
                <w:rFonts w:ascii="Times New Roman" w:eastAsia="Times New Roman" w:hAnsi="Times New Roman" w:cs="Times New Roman"/>
                <w:sz w:val="20"/>
                <w:szCs w:val="20"/>
              </w:rPr>
              <w:t>4744,0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9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A3">
              <w:rPr>
                <w:rFonts w:ascii="Times New Roman" w:eastAsia="Times New Roman" w:hAnsi="Times New Roman" w:cs="Times New Roman"/>
                <w:sz w:val="20"/>
                <w:szCs w:val="20"/>
              </w:rPr>
              <w:t>11719,3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7E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FA3">
              <w:rPr>
                <w:rFonts w:ascii="Times New Roman" w:hAnsi="Times New Roman" w:cs="Times New Roman"/>
                <w:sz w:val="20"/>
                <w:szCs w:val="20"/>
              </w:rPr>
              <w:t>6975,3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9B1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2,5 раза</w:t>
            </w:r>
          </w:p>
        </w:tc>
      </w:tr>
      <w:tr w:rsidR="009B1FA3" w:rsidRPr="00F619E9" w:rsidTr="00842AE0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F619E9" w:rsidRDefault="009B1FA3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F619E9" w:rsidRDefault="009B1FA3" w:rsidP="00634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A3">
              <w:rPr>
                <w:rFonts w:ascii="Times New Roman" w:eastAsia="Times New Roman" w:hAnsi="Times New Roman" w:cs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A3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7E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FA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7E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FA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9B1FA3" w:rsidRPr="00F619E9" w:rsidTr="00842AE0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A3" w:rsidRPr="00F619E9" w:rsidRDefault="009B1FA3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A3" w:rsidRPr="00F619E9" w:rsidRDefault="009B1FA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7E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FA3">
              <w:rPr>
                <w:rFonts w:ascii="Times New Roman" w:hAnsi="Times New Roman" w:cs="Times New Roman"/>
                <w:sz w:val="20"/>
                <w:szCs w:val="20"/>
              </w:rPr>
              <w:t>6985,7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3" w:rsidRPr="009B1FA3" w:rsidRDefault="009B1FA3" w:rsidP="007E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2,4 раза</w:t>
            </w:r>
          </w:p>
        </w:tc>
      </w:tr>
    </w:tbl>
    <w:p w:rsidR="00DA1BF8" w:rsidRPr="00DA1BF8" w:rsidRDefault="00DA1BF8" w:rsidP="00D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1BF8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012EED" w:rsidRPr="00937CD9" w:rsidRDefault="00DA1BF8" w:rsidP="00012E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264B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3264B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64B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64B9"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D3A7C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D3A7C">
        <w:rPr>
          <w:rFonts w:ascii="Times New Roman" w:eastAsia="Times New Roman" w:hAnsi="Times New Roman" w:cs="Times New Roman"/>
          <w:sz w:val="24"/>
          <w:szCs w:val="24"/>
        </w:rPr>
        <w:t>0,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9D133A" w:rsidRDefault="009D133A" w:rsidP="009D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E67092" w:rsidRDefault="00E67092" w:rsidP="00E67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670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Суражского муниципального района 15.11.202</w:t>
      </w:r>
      <w:r w:rsidR="00BA64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 xml:space="preserve"> что не противоречит п. 1 ст. 185 Бюджетного кодекса РФ.</w:t>
      </w:r>
    </w:p>
    <w:p w:rsidR="004F6C80" w:rsidRPr="004F6C80" w:rsidRDefault="004F6C80" w:rsidP="004F6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GoBack"/>
      <w:r w:rsidRPr="004F6C80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4F6C80" w:rsidRPr="004F6C80" w:rsidRDefault="004F6C80" w:rsidP="004F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6C80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bookmarkEnd w:id="1"/>
    <w:p w:rsidR="00FB70BA" w:rsidRDefault="00FB70BA" w:rsidP="00FB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A64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BA64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годы, что соответствует установленному периоду в части 1 статьи 173 Бюджетного кодекса Российской Федерации.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</w:p>
    <w:p w:rsidR="00FB70BA" w:rsidRDefault="00FB70BA" w:rsidP="00FB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173 Бюджетного кодекса Российской Федерации Прогноз был утвержден постановлением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Суражского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FFF" w:rsidRDefault="00231FFF" w:rsidP="00231FF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соответствии с частью 3 статьи 173 Бюджетного кодекса Российской Федерации Прогноз социально-экономического развития утвержден </w:t>
      </w:r>
      <w:r w:rsidRPr="007B5BF3">
        <w:rPr>
          <w:rFonts w:ascii="Times New Roman" w:hAnsi="Times New Roman" w:cs="Times New Roman"/>
          <w:b/>
          <w:i/>
          <w:sz w:val="24"/>
          <w:szCs w:val="24"/>
        </w:rPr>
        <w:t>с нарушением срока, установленного п.3 ст.173 Бюджетного кодекса Российской Федерации (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постановление </w:t>
      </w:r>
      <w:proofErr w:type="spellStart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Овчинской</w:t>
      </w:r>
      <w:proofErr w:type="spellEnd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администрацией Суражского района от 17.11.2021 года № 81</w:t>
      </w:r>
      <w:r w:rsidRPr="007B5B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31FFF" w:rsidRPr="00581DDE" w:rsidRDefault="00231FFF" w:rsidP="0023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нарушение 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Овчинское</w:t>
      </w:r>
      <w:proofErr w:type="spell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сельское поселение на среднесрочный и долгосрочный период» от 26.07.2016 г. №95-1 в пояснительной записке к прогнозу социально-экономического развития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proofErr w:type="gram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этом</w:t>
      </w:r>
      <w:proofErr w:type="gram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пояснительная записка составлена не корректно, сжата и не отражает основные показатели экономического развития муниципального образования и не увязана с бюджетными проектировками на плановый период. Отсутствуют табличные формы прогноза.</w:t>
      </w:r>
    </w:p>
    <w:p w:rsidR="00873CC9" w:rsidRPr="00C84B76" w:rsidRDefault="00873CC9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0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873CC9" w:rsidRDefault="00873CC9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873CC9" w:rsidRPr="00C84B76" w:rsidRDefault="00873CC9" w:rsidP="00873CC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C84B76">
        <w:rPr>
          <w:rFonts w:ascii="Arial" w:eastAsia="Times New Roman" w:hAnsi="Arial" w:cs="Arial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873CC9" w:rsidRPr="00C84B76" w:rsidRDefault="00C26353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D022C3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Pr="00D022C3">
        <w:rPr>
          <w:rFonts w:ascii="Times New Roman" w:eastAsia="Times New Roman" w:hAnsi="Times New Roman" w:cs="Times New Roman"/>
          <w:b/>
          <w:sz w:val="24"/>
          <w:szCs w:val="24"/>
        </w:rPr>
        <w:t xml:space="preserve">не в полной мере соответствует </w:t>
      </w:r>
      <w:r w:rsidR="00873CC9" w:rsidRPr="00D022C3">
        <w:rPr>
          <w:rFonts w:ascii="Times New Roman" w:eastAsia="Times New Roman" w:hAnsi="Times New Roman" w:cs="Times New Roman"/>
          <w:b/>
          <w:sz w:val="24"/>
          <w:szCs w:val="24"/>
        </w:rPr>
        <w:t>ст. 184.1 БК РФ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 в части состава </w:t>
      </w:r>
      <w:r w:rsidR="00873CC9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</w:t>
      </w:r>
      <w:r w:rsidR="003A5C03">
        <w:rPr>
          <w:rFonts w:ascii="Times New Roman" w:eastAsia="Times New Roman" w:hAnsi="Times New Roman" w:cs="Times New Roman"/>
          <w:sz w:val="24"/>
          <w:szCs w:val="24"/>
        </w:rPr>
        <w:t xml:space="preserve">решения о 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D94B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3CC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района:</w:t>
      </w:r>
    </w:p>
    <w:p w:rsidR="00873CC9" w:rsidRDefault="00873CC9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объемы межбюджетных трансфертов, получаемых из других бюджетов бюджетной системы на 202</w:t>
      </w:r>
      <w:r w:rsidR="00C32C5B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C32C5B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C32C5B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01808" w:rsidRPr="005D2F8F" w:rsidRDefault="00601808" w:rsidP="0060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C32C5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и на плановый период 202</w:t>
      </w:r>
      <w:r w:rsidR="00C32C5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32C5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C32C5B">
        <w:rPr>
          <w:rFonts w:ascii="Times New Roman" w:eastAsia="Times New Roman" w:hAnsi="Times New Roman" w:cs="Times New Roman"/>
          <w:sz w:val="24"/>
          <w:szCs w:val="24"/>
        </w:rPr>
        <w:t xml:space="preserve">по 50,0 тыс. рублей ежегодно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не превышает установленное статьей 81 БК РФ ограничение 3,0% общего объема расходов.</w:t>
      </w:r>
    </w:p>
    <w:p w:rsidR="00601808" w:rsidRDefault="00601808" w:rsidP="0060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Овчинским</w:t>
      </w:r>
      <w:proofErr w:type="spellEnd"/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A112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FB70BA" w:rsidRPr="00D87F67" w:rsidRDefault="00FB70BA" w:rsidP="00FB70B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FB70BA" w:rsidRPr="00D87F67" w:rsidRDefault="00FB70BA" w:rsidP="00FB7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3598,0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оценки ожидаемого исполнения бюджета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года на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315,6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FB70BA" w:rsidRPr="00D87F67" w:rsidRDefault="00FB70BA" w:rsidP="00FB7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A112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8A1129">
        <w:rPr>
          <w:rFonts w:ascii="Times New Roman" w:eastAsia="Times New Roman" w:hAnsi="Times New Roman" w:cs="Times New Roman"/>
          <w:sz w:val="24"/>
          <w:szCs w:val="24"/>
        </w:rPr>
        <w:t>12007,5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8A1129">
        <w:rPr>
          <w:rFonts w:ascii="Times New Roman" w:eastAsia="Times New Roman" w:hAnsi="Times New Roman" w:cs="Times New Roman"/>
          <w:sz w:val="24"/>
          <w:szCs w:val="24"/>
        </w:rPr>
        <w:t>7606,7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8A1129">
        <w:rPr>
          <w:rFonts w:ascii="Times New Roman" w:eastAsia="Times New Roman" w:hAnsi="Times New Roman" w:cs="Times New Roman"/>
          <w:sz w:val="24"/>
          <w:szCs w:val="24"/>
        </w:rPr>
        <w:t>38,8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ниже оценки объёма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A112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93D36" w:rsidRPr="0010028D" w:rsidRDefault="00493D36" w:rsidP="00493D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8A11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A11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237F9F">
        <w:rPr>
          <w:rFonts w:ascii="Times New Roman" w:eastAsia="Times New Roman" w:hAnsi="Times New Roman" w:cs="Times New Roman"/>
          <w:sz w:val="24"/>
          <w:szCs w:val="24"/>
        </w:rPr>
        <w:t>299,0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37F9F">
        <w:rPr>
          <w:rFonts w:ascii="Times New Roman" w:eastAsia="Times New Roman" w:hAnsi="Times New Roman" w:cs="Times New Roman"/>
          <w:sz w:val="24"/>
          <w:szCs w:val="24"/>
        </w:rPr>
        <w:t>605,3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ст. 184.1 Бюджетного кодекса РФ соблюдено.</w:t>
      </w:r>
    </w:p>
    <w:p w:rsidR="00C63A06" w:rsidRPr="001019F1" w:rsidRDefault="00C63A06" w:rsidP="00C63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>Проект бюджета на 202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2022 и 2023 годов бюджет сбалансирован. Проектом решения утверждены источники внутреннего финансирования дефицита бюджета на 202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годов (приложение №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) – изменение остатков средств на счетах по учету средств бюджета. </w:t>
      </w:r>
    </w:p>
    <w:p w:rsidR="00C63A06" w:rsidRDefault="00C63A06" w:rsidP="00C6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п. 3 ст. 92.1 Бюджетного кодекса РФ соблюдены.</w:t>
      </w:r>
    </w:p>
    <w:p w:rsidR="007F0B1E" w:rsidRPr="00CC1FD0" w:rsidRDefault="007F0B1E" w:rsidP="007F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>Проект бюджета поселения на 202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 сформирован по программно-целевому принципу, предусматривающему формирование расходов исходя из целей, установленных двумя муниципальными программами. </w:t>
      </w:r>
    </w:p>
    <w:p w:rsidR="007F0B1E" w:rsidRPr="00CC1FD0" w:rsidRDefault="007F0B1E" w:rsidP="007F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CC1FD0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511" w:rsidRDefault="00530AB9" w:rsidP="003D66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3D66EC" w:rsidRPr="00574730">
        <w:rPr>
          <w:rFonts w:ascii="Times New Roman" w:hAnsi="Times New Roman"/>
          <w:b/>
          <w:i/>
          <w:sz w:val="24"/>
          <w:szCs w:val="24"/>
        </w:rPr>
        <w:t xml:space="preserve">В нарушение  ч. 2 ст. 179 </w:t>
      </w:r>
      <w:r w:rsidR="003D66EC" w:rsidRPr="00574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="003D66EC" w:rsidRPr="00574730">
        <w:rPr>
          <w:rFonts w:ascii="Times New Roman" w:hAnsi="Times New Roman"/>
          <w:b/>
          <w:i/>
          <w:sz w:val="24"/>
          <w:szCs w:val="24"/>
        </w:rPr>
        <w:t xml:space="preserve">муниципальные программы </w:t>
      </w:r>
      <w:proofErr w:type="spellStart"/>
      <w:r w:rsidR="003D66EC" w:rsidRPr="00574730">
        <w:rPr>
          <w:rFonts w:ascii="Times New Roman" w:hAnsi="Times New Roman"/>
          <w:b/>
          <w:i/>
          <w:sz w:val="24"/>
          <w:szCs w:val="24"/>
        </w:rPr>
        <w:t>Овчинского</w:t>
      </w:r>
      <w:proofErr w:type="spellEnd"/>
      <w:r w:rsidR="003D66EC" w:rsidRPr="00574730">
        <w:rPr>
          <w:rFonts w:ascii="Times New Roman" w:hAnsi="Times New Roman"/>
          <w:b/>
          <w:i/>
          <w:sz w:val="24"/>
          <w:szCs w:val="24"/>
        </w:rPr>
        <w:t xml:space="preserve"> сельского поселения утверждены после внесения проекта бюджета в Контрольно-счетную палату Суражского муниципального района (постановления </w:t>
      </w:r>
      <w:proofErr w:type="spellStart"/>
      <w:r w:rsidR="003D66EC" w:rsidRPr="00574730">
        <w:rPr>
          <w:rFonts w:ascii="Times New Roman" w:hAnsi="Times New Roman"/>
          <w:b/>
          <w:i/>
          <w:sz w:val="24"/>
          <w:szCs w:val="24"/>
        </w:rPr>
        <w:t>Овчинской</w:t>
      </w:r>
      <w:proofErr w:type="spellEnd"/>
      <w:r w:rsidR="003D66EC" w:rsidRPr="00574730">
        <w:rPr>
          <w:rFonts w:ascii="Times New Roman" w:hAnsi="Times New Roman"/>
          <w:b/>
          <w:i/>
          <w:sz w:val="24"/>
          <w:szCs w:val="24"/>
        </w:rPr>
        <w:t xml:space="preserve"> сельской администрации от 17.11.2021г. №83, №84).</w:t>
      </w:r>
    </w:p>
    <w:p w:rsidR="00161B9A" w:rsidRPr="00D77815" w:rsidRDefault="00161B9A" w:rsidP="003D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511" w:rsidRPr="00F03DC8" w:rsidRDefault="00333511" w:rsidP="0033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Pr="00F03DC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ов»  расходы на реализацию целевых программ  в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11957,0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 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99,6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</w:rPr>
        <w:t>6985,7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4"/>
          <w:szCs w:val="24"/>
        </w:rPr>
        <w:t>в 2,4 раза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6D46" w:rsidRPr="00DA1BF8" w:rsidRDefault="00A66D46" w:rsidP="00A66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1BF8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A66D46" w:rsidRPr="00937CD9" w:rsidRDefault="00A66D46" w:rsidP="00A66D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3AF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2B3AF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2B3A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822446" w:rsidRPr="00AB1365" w:rsidRDefault="00822446" w:rsidP="00822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822446" w:rsidRPr="00D91728" w:rsidRDefault="00822446" w:rsidP="00822446">
      <w:pPr>
        <w:pStyle w:val="af4"/>
        <w:numPr>
          <w:ilvl w:val="0"/>
          <w:numId w:val="5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proofErr w:type="spellStart"/>
      <w:r>
        <w:rPr>
          <w:bCs/>
          <w:sz w:val="24"/>
          <w:szCs w:val="24"/>
        </w:rPr>
        <w:t>Овчинского</w:t>
      </w:r>
      <w:proofErr w:type="spellEnd"/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202</w:t>
      </w:r>
      <w:r w:rsidR="00536E76">
        <w:rPr>
          <w:bCs/>
          <w:sz w:val="24"/>
          <w:szCs w:val="24"/>
        </w:rPr>
        <w:t>2</w:t>
      </w:r>
      <w:r w:rsidRPr="00D91728">
        <w:rPr>
          <w:bCs/>
          <w:sz w:val="24"/>
          <w:szCs w:val="24"/>
        </w:rPr>
        <w:t xml:space="preserve"> год и на плановый период 202</w:t>
      </w:r>
      <w:r w:rsidR="00536E76">
        <w:rPr>
          <w:bCs/>
          <w:sz w:val="24"/>
          <w:szCs w:val="24"/>
        </w:rPr>
        <w:t>3</w:t>
      </w:r>
      <w:r w:rsidRPr="00D91728">
        <w:rPr>
          <w:bCs/>
          <w:sz w:val="24"/>
          <w:szCs w:val="24"/>
        </w:rPr>
        <w:t xml:space="preserve"> и 202</w:t>
      </w:r>
      <w:r w:rsidR="00536E76">
        <w:rPr>
          <w:bCs/>
          <w:sz w:val="24"/>
          <w:szCs w:val="24"/>
        </w:rPr>
        <w:t>4</w:t>
      </w:r>
      <w:r w:rsidRPr="00D91728">
        <w:rPr>
          <w:bCs/>
          <w:sz w:val="24"/>
          <w:szCs w:val="24"/>
        </w:rPr>
        <w:t xml:space="preserve"> годов» </w:t>
      </w:r>
      <w:r w:rsidRPr="00D91728">
        <w:rPr>
          <w:sz w:val="24"/>
          <w:szCs w:val="24"/>
        </w:rPr>
        <w:t>в соответствии со ст. 184.1 Бюджетного кодекса  РФ в части утверждения в решении необходимых характеристик бюджета.</w:t>
      </w:r>
    </w:p>
    <w:p w:rsidR="00822446" w:rsidRPr="002254C9" w:rsidRDefault="00822446" w:rsidP="00822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24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8E3247" w:rsidRPr="008E3247">
        <w:rPr>
          <w:rFonts w:ascii="Times New Roman" w:hAnsi="Times New Roman" w:cs="Times New Roman"/>
          <w:bCs/>
          <w:sz w:val="24"/>
          <w:szCs w:val="24"/>
        </w:rPr>
        <w:t>Овчинскому</w:t>
      </w:r>
      <w:proofErr w:type="spellEnd"/>
      <w:r w:rsidRPr="008E324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«О бюджете </w:t>
      </w:r>
      <w:proofErr w:type="spellStart"/>
      <w:r w:rsidR="008E3247" w:rsidRPr="008E3247">
        <w:rPr>
          <w:rFonts w:ascii="Times New Roman" w:hAnsi="Times New Roman" w:cs="Times New Roman"/>
          <w:bCs/>
          <w:sz w:val="24"/>
          <w:szCs w:val="24"/>
        </w:rPr>
        <w:t>Овчинского</w:t>
      </w:r>
      <w:proofErr w:type="spellEnd"/>
      <w:r w:rsidRPr="008E324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Суражского муниципального района Брянской 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области» на 202</w:t>
      </w:r>
      <w:r w:rsidR="00536E7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536E7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536E7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F23168" w:rsidRPr="00F712EC" w:rsidRDefault="00F23168" w:rsidP="00067A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8F2" w:rsidRPr="00061A09" w:rsidRDefault="00B92758" w:rsidP="00547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FA38F2" w:rsidRPr="00061A09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061A09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FA38F2" w:rsidRPr="00061A09" w:rsidRDefault="00FA38F2" w:rsidP="00FA38F2">
      <w:pPr>
        <w:spacing w:after="0" w:line="240" w:lineRule="auto"/>
        <w:jc w:val="both"/>
        <w:rPr>
          <w:sz w:val="24"/>
          <w:szCs w:val="24"/>
        </w:rPr>
      </w:pP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61A09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61A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1A0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1AD6" w:rsidRDefault="00561AD6" w:rsidP="0056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1AD6" w:rsidSect="006963E7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2A5F05"/>
    <w:multiLevelType w:val="hybridMultilevel"/>
    <w:tmpl w:val="89F292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758"/>
    <w:rsid w:val="00012EED"/>
    <w:rsid w:val="00024F12"/>
    <w:rsid w:val="00030821"/>
    <w:rsid w:val="00036087"/>
    <w:rsid w:val="00037B05"/>
    <w:rsid w:val="00046A63"/>
    <w:rsid w:val="0005626D"/>
    <w:rsid w:val="00060276"/>
    <w:rsid w:val="000619C3"/>
    <w:rsid w:val="00061A09"/>
    <w:rsid w:val="00067ABB"/>
    <w:rsid w:val="000702C1"/>
    <w:rsid w:val="00070DB7"/>
    <w:rsid w:val="00071A6D"/>
    <w:rsid w:val="00080EE4"/>
    <w:rsid w:val="000861FE"/>
    <w:rsid w:val="00086FAD"/>
    <w:rsid w:val="000915AC"/>
    <w:rsid w:val="00093A00"/>
    <w:rsid w:val="00097B9A"/>
    <w:rsid w:val="000B1411"/>
    <w:rsid w:val="000B1A91"/>
    <w:rsid w:val="000B45FB"/>
    <w:rsid w:val="000B46E0"/>
    <w:rsid w:val="000B5F10"/>
    <w:rsid w:val="000C16CC"/>
    <w:rsid w:val="000C2429"/>
    <w:rsid w:val="000C34C0"/>
    <w:rsid w:val="000C4E50"/>
    <w:rsid w:val="000D1CA8"/>
    <w:rsid w:val="000D23D3"/>
    <w:rsid w:val="000E04FB"/>
    <w:rsid w:val="000E0BCE"/>
    <w:rsid w:val="000E43F8"/>
    <w:rsid w:val="000F5FAC"/>
    <w:rsid w:val="000F7F58"/>
    <w:rsid w:val="0010028D"/>
    <w:rsid w:val="001019F1"/>
    <w:rsid w:val="00104194"/>
    <w:rsid w:val="00105D21"/>
    <w:rsid w:val="001223F6"/>
    <w:rsid w:val="00135957"/>
    <w:rsid w:val="00136C71"/>
    <w:rsid w:val="00146654"/>
    <w:rsid w:val="001472CE"/>
    <w:rsid w:val="00153126"/>
    <w:rsid w:val="00153E07"/>
    <w:rsid w:val="00154D38"/>
    <w:rsid w:val="00156E4E"/>
    <w:rsid w:val="00160802"/>
    <w:rsid w:val="00161B9A"/>
    <w:rsid w:val="00161BBB"/>
    <w:rsid w:val="00174607"/>
    <w:rsid w:val="00175A77"/>
    <w:rsid w:val="00186559"/>
    <w:rsid w:val="001873B0"/>
    <w:rsid w:val="0019003E"/>
    <w:rsid w:val="00192991"/>
    <w:rsid w:val="00196887"/>
    <w:rsid w:val="001A3F37"/>
    <w:rsid w:val="001A4BFD"/>
    <w:rsid w:val="001A7D01"/>
    <w:rsid w:val="001B2543"/>
    <w:rsid w:val="001C2125"/>
    <w:rsid w:val="001D77AB"/>
    <w:rsid w:val="001F2AC6"/>
    <w:rsid w:val="001F74A9"/>
    <w:rsid w:val="00201928"/>
    <w:rsid w:val="00204D2C"/>
    <w:rsid w:val="0022063A"/>
    <w:rsid w:val="0022282B"/>
    <w:rsid w:val="00226C51"/>
    <w:rsid w:val="00231FFF"/>
    <w:rsid w:val="002363A2"/>
    <w:rsid w:val="00237F9F"/>
    <w:rsid w:val="002402D3"/>
    <w:rsid w:val="00240A2A"/>
    <w:rsid w:val="00240F64"/>
    <w:rsid w:val="002415A0"/>
    <w:rsid w:val="0024202F"/>
    <w:rsid w:val="00242DC4"/>
    <w:rsid w:val="00247405"/>
    <w:rsid w:val="002508CA"/>
    <w:rsid w:val="002530DC"/>
    <w:rsid w:val="0025399D"/>
    <w:rsid w:val="0025769E"/>
    <w:rsid w:val="00262668"/>
    <w:rsid w:val="00263C94"/>
    <w:rsid w:val="002724C6"/>
    <w:rsid w:val="00281997"/>
    <w:rsid w:val="00282B93"/>
    <w:rsid w:val="00283480"/>
    <w:rsid w:val="00287451"/>
    <w:rsid w:val="002925BA"/>
    <w:rsid w:val="002937A9"/>
    <w:rsid w:val="00294487"/>
    <w:rsid w:val="00294FEB"/>
    <w:rsid w:val="00295918"/>
    <w:rsid w:val="002A04A8"/>
    <w:rsid w:val="002A46C1"/>
    <w:rsid w:val="002A5CC6"/>
    <w:rsid w:val="002B1884"/>
    <w:rsid w:val="002B3AFC"/>
    <w:rsid w:val="002B4490"/>
    <w:rsid w:val="002B494D"/>
    <w:rsid w:val="002B6F70"/>
    <w:rsid w:val="002C6C98"/>
    <w:rsid w:val="002D5DC8"/>
    <w:rsid w:val="002E041C"/>
    <w:rsid w:val="002E4D8E"/>
    <w:rsid w:val="002F07FF"/>
    <w:rsid w:val="002F13F3"/>
    <w:rsid w:val="00302943"/>
    <w:rsid w:val="00303D97"/>
    <w:rsid w:val="00304924"/>
    <w:rsid w:val="00310929"/>
    <w:rsid w:val="00311D15"/>
    <w:rsid w:val="003127CE"/>
    <w:rsid w:val="00317182"/>
    <w:rsid w:val="003221B8"/>
    <w:rsid w:val="00323259"/>
    <w:rsid w:val="003264B9"/>
    <w:rsid w:val="00326A4B"/>
    <w:rsid w:val="00330B2D"/>
    <w:rsid w:val="003322E5"/>
    <w:rsid w:val="00333511"/>
    <w:rsid w:val="00342DCC"/>
    <w:rsid w:val="003504C1"/>
    <w:rsid w:val="003525FD"/>
    <w:rsid w:val="0036652A"/>
    <w:rsid w:val="003668EB"/>
    <w:rsid w:val="00373132"/>
    <w:rsid w:val="00381B80"/>
    <w:rsid w:val="00385A9C"/>
    <w:rsid w:val="00385CD5"/>
    <w:rsid w:val="00391451"/>
    <w:rsid w:val="00393E77"/>
    <w:rsid w:val="003A080E"/>
    <w:rsid w:val="003A1554"/>
    <w:rsid w:val="003A169A"/>
    <w:rsid w:val="003A2606"/>
    <w:rsid w:val="003A48E4"/>
    <w:rsid w:val="003A5C03"/>
    <w:rsid w:val="003B721B"/>
    <w:rsid w:val="003B7E74"/>
    <w:rsid w:val="003C765A"/>
    <w:rsid w:val="003D3B61"/>
    <w:rsid w:val="003D66EC"/>
    <w:rsid w:val="003E385C"/>
    <w:rsid w:val="003E4912"/>
    <w:rsid w:val="003E6225"/>
    <w:rsid w:val="003E689E"/>
    <w:rsid w:val="003F1144"/>
    <w:rsid w:val="003F31A7"/>
    <w:rsid w:val="003F406E"/>
    <w:rsid w:val="003F48CF"/>
    <w:rsid w:val="003F6B36"/>
    <w:rsid w:val="0040235F"/>
    <w:rsid w:val="004073EA"/>
    <w:rsid w:val="00414B6F"/>
    <w:rsid w:val="0042167C"/>
    <w:rsid w:val="00423175"/>
    <w:rsid w:val="004428AA"/>
    <w:rsid w:val="0044319A"/>
    <w:rsid w:val="00457499"/>
    <w:rsid w:val="00465637"/>
    <w:rsid w:val="00466E9A"/>
    <w:rsid w:val="0047017D"/>
    <w:rsid w:val="004740E7"/>
    <w:rsid w:val="00476F4C"/>
    <w:rsid w:val="00477474"/>
    <w:rsid w:val="00477C32"/>
    <w:rsid w:val="00493D36"/>
    <w:rsid w:val="00496AC8"/>
    <w:rsid w:val="00497892"/>
    <w:rsid w:val="004A71EB"/>
    <w:rsid w:val="004A7452"/>
    <w:rsid w:val="004B2166"/>
    <w:rsid w:val="004B4DD0"/>
    <w:rsid w:val="004B70E0"/>
    <w:rsid w:val="004C4D8C"/>
    <w:rsid w:val="004C549E"/>
    <w:rsid w:val="004D25C3"/>
    <w:rsid w:val="004D2E2C"/>
    <w:rsid w:val="004D3E02"/>
    <w:rsid w:val="004E4CE6"/>
    <w:rsid w:val="004E626F"/>
    <w:rsid w:val="004E7DE2"/>
    <w:rsid w:val="004E7F61"/>
    <w:rsid w:val="004F2A97"/>
    <w:rsid w:val="004F33CD"/>
    <w:rsid w:val="004F6C80"/>
    <w:rsid w:val="005009F0"/>
    <w:rsid w:val="005166B6"/>
    <w:rsid w:val="005204DF"/>
    <w:rsid w:val="00520BAA"/>
    <w:rsid w:val="00523FBE"/>
    <w:rsid w:val="00530AB9"/>
    <w:rsid w:val="00536E76"/>
    <w:rsid w:val="00537C2D"/>
    <w:rsid w:val="00542AEC"/>
    <w:rsid w:val="00543F51"/>
    <w:rsid w:val="005465CF"/>
    <w:rsid w:val="00546E23"/>
    <w:rsid w:val="005475A8"/>
    <w:rsid w:val="00547755"/>
    <w:rsid w:val="00547770"/>
    <w:rsid w:val="00550C47"/>
    <w:rsid w:val="00560CAF"/>
    <w:rsid w:val="00561AD6"/>
    <w:rsid w:val="005630AB"/>
    <w:rsid w:val="00566077"/>
    <w:rsid w:val="00566759"/>
    <w:rsid w:val="0057233D"/>
    <w:rsid w:val="0057430A"/>
    <w:rsid w:val="00574730"/>
    <w:rsid w:val="00581DDE"/>
    <w:rsid w:val="00590FD3"/>
    <w:rsid w:val="0059597C"/>
    <w:rsid w:val="00595E7F"/>
    <w:rsid w:val="005A4F88"/>
    <w:rsid w:val="005A56F0"/>
    <w:rsid w:val="005A63C5"/>
    <w:rsid w:val="005B0523"/>
    <w:rsid w:val="005B2420"/>
    <w:rsid w:val="005C1A65"/>
    <w:rsid w:val="005C372F"/>
    <w:rsid w:val="005C50F0"/>
    <w:rsid w:val="005C5382"/>
    <w:rsid w:val="005C75ED"/>
    <w:rsid w:val="005D0EAE"/>
    <w:rsid w:val="005D2F8F"/>
    <w:rsid w:val="005E4C9C"/>
    <w:rsid w:val="00601808"/>
    <w:rsid w:val="006044EA"/>
    <w:rsid w:val="00612557"/>
    <w:rsid w:val="0061606A"/>
    <w:rsid w:val="0062219C"/>
    <w:rsid w:val="006252C2"/>
    <w:rsid w:val="00632F94"/>
    <w:rsid w:val="00634FF2"/>
    <w:rsid w:val="0064467B"/>
    <w:rsid w:val="00652AE0"/>
    <w:rsid w:val="00653D83"/>
    <w:rsid w:val="0065767B"/>
    <w:rsid w:val="00663565"/>
    <w:rsid w:val="00665383"/>
    <w:rsid w:val="006718FD"/>
    <w:rsid w:val="00671C52"/>
    <w:rsid w:val="00671F58"/>
    <w:rsid w:val="00672D0E"/>
    <w:rsid w:val="006736DC"/>
    <w:rsid w:val="00676777"/>
    <w:rsid w:val="00684558"/>
    <w:rsid w:val="00685430"/>
    <w:rsid w:val="00686D56"/>
    <w:rsid w:val="00690706"/>
    <w:rsid w:val="006963E7"/>
    <w:rsid w:val="00696727"/>
    <w:rsid w:val="006B5628"/>
    <w:rsid w:val="006B57A8"/>
    <w:rsid w:val="006C58FD"/>
    <w:rsid w:val="006D10E5"/>
    <w:rsid w:val="006D14B0"/>
    <w:rsid w:val="006D26D1"/>
    <w:rsid w:val="006D3635"/>
    <w:rsid w:val="006F1452"/>
    <w:rsid w:val="00700A08"/>
    <w:rsid w:val="007071EA"/>
    <w:rsid w:val="00710B63"/>
    <w:rsid w:val="00710C46"/>
    <w:rsid w:val="00711364"/>
    <w:rsid w:val="00712FDC"/>
    <w:rsid w:val="00713797"/>
    <w:rsid w:val="00714A37"/>
    <w:rsid w:val="00722E5A"/>
    <w:rsid w:val="00725883"/>
    <w:rsid w:val="007258C0"/>
    <w:rsid w:val="0073341F"/>
    <w:rsid w:val="00740A9F"/>
    <w:rsid w:val="00740F1E"/>
    <w:rsid w:val="0074328D"/>
    <w:rsid w:val="007474EE"/>
    <w:rsid w:val="00754EBF"/>
    <w:rsid w:val="00756714"/>
    <w:rsid w:val="00756B0F"/>
    <w:rsid w:val="0076176B"/>
    <w:rsid w:val="00767EB2"/>
    <w:rsid w:val="00771D2B"/>
    <w:rsid w:val="007742C4"/>
    <w:rsid w:val="00774C23"/>
    <w:rsid w:val="007763A4"/>
    <w:rsid w:val="0078188E"/>
    <w:rsid w:val="00782B26"/>
    <w:rsid w:val="00790987"/>
    <w:rsid w:val="00794399"/>
    <w:rsid w:val="007A22DE"/>
    <w:rsid w:val="007A7402"/>
    <w:rsid w:val="007B0A0A"/>
    <w:rsid w:val="007B1849"/>
    <w:rsid w:val="007B24C7"/>
    <w:rsid w:val="007B5BF3"/>
    <w:rsid w:val="007C5265"/>
    <w:rsid w:val="007D207F"/>
    <w:rsid w:val="007D2257"/>
    <w:rsid w:val="007D3158"/>
    <w:rsid w:val="007E0BBE"/>
    <w:rsid w:val="007E235A"/>
    <w:rsid w:val="007E473C"/>
    <w:rsid w:val="007F01B7"/>
    <w:rsid w:val="007F0B1E"/>
    <w:rsid w:val="007F24F0"/>
    <w:rsid w:val="007F46BB"/>
    <w:rsid w:val="007F4894"/>
    <w:rsid w:val="007F57F5"/>
    <w:rsid w:val="007F5B35"/>
    <w:rsid w:val="007F71CB"/>
    <w:rsid w:val="00801852"/>
    <w:rsid w:val="00801CDA"/>
    <w:rsid w:val="00806163"/>
    <w:rsid w:val="00806345"/>
    <w:rsid w:val="008112B6"/>
    <w:rsid w:val="00811BB8"/>
    <w:rsid w:val="00811F81"/>
    <w:rsid w:val="008135F5"/>
    <w:rsid w:val="0081665F"/>
    <w:rsid w:val="00822446"/>
    <w:rsid w:val="00824180"/>
    <w:rsid w:val="00825026"/>
    <w:rsid w:val="0082550B"/>
    <w:rsid w:val="00831A2F"/>
    <w:rsid w:val="0083476F"/>
    <w:rsid w:val="00835BD9"/>
    <w:rsid w:val="00836B64"/>
    <w:rsid w:val="00841EC8"/>
    <w:rsid w:val="00842AE0"/>
    <w:rsid w:val="00844E86"/>
    <w:rsid w:val="00846245"/>
    <w:rsid w:val="008501A1"/>
    <w:rsid w:val="00856E49"/>
    <w:rsid w:val="00862084"/>
    <w:rsid w:val="00862A99"/>
    <w:rsid w:val="00873CC9"/>
    <w:rsid w:val="008818FF"/>
    <w:rsid w:val="00883CD2"/>
    <w:rsid w:val="00885030"/>
    <w:rsid w:val="00886FE1"/>
    <w:rsid w:val="00887DE9"/>
    <w:rsid w:val="00887F30"/>
    <w:rsid w:val="00892DA0"/>
    <w:rsid w:val="0089534E"/>
    <w:rsid w:val="00895C77"/>
    <w:rsid w:val="00896354"/>
    <w:rsid w:val="008A1129"/>
    <w:rsid w:val="008A2F13"/>
    <w:rsid w:val="008B1C39"/>
    <w:rsid w:val="008B66CA"/>
    <w:rsid w:val="008C0A4A"/>
    <w:rsid w:val="008C35E7"/>
    <w:rsid w:val="008C5162"/>
    <w:rsid w:val="008C67D2"/>
    <w:rsid w:val="008D0F63"/>
    <w:rsid w:val="008D1D5A"/>
    <w:rsid w:val="008E3247"/>
    <w:rsid w:val="008E3D94"/>
    <w:rsid w:val="008E410C"/>
    <w:rsid w:val="008F1D11"/>
    <w:rsid w:val="008F46D6"/>
    <w:rsid w:val="008F556E"/>
    <w:rsid w:val="008F5708"/>
    <w:rsid w:val="00901894"/>
    <w:rsid w:val="00910DEA"/>
    <w:rsid w:val="009224CD"/>
    <w:rsid w:val="0092551B"/>
    <w:rsid w:val="00935157"/>
    <w:rsid w:val="009353C1"/>
    <w:rsid w:val="00944A42"/>
    <w:rsid w:val="009531A8"/>
    <w:rsid w:val="00953EA0"/>
    <w:rsid w:val="00956236"/>
    <w:rsid w:val="00956A14"/>
    <w:rsid w:val="00957531"/>
    <w:rsid w:val="00957E54"/>
    <w:rsid w:val="009601B9"/>
    <w:rsid w:val="00960DFA"/>
    <w:rsid w:val="00967049"/>
    <w:rsid w:val="0097162E"/>
    <w:rsid w:val="00976049"/>
    <w:rsid w:val="009844D4"/>
    <w:rsid w:val="00986028"/>
    <w:rsid w:val="009928CF"/>
    <w:rsid w:val="009930F5"/>
    <w:rsid w:val="009B1BE6"/>
    <w:rsid w:val="009B1FA3"/>
    <w:rsid w:val="009B5627"/>
    <w:rsid w:val="009C0489"/>
    <w:rsid w:val="009C29FB"/>
    <w:rsid w:val="009C3B81"/>
    <w:rsid w:val="009C472F"/>
    <w:rsid w:val="009C70AB"/>
    <w:rsid w:val="009D133A"/>
    <w:rsid w:val="009D4CF1"/>
    <w:rsid w:val="009D62C1"/>
    <w:rsid w:val="00A00CA7"/>
    <w:rsid w:val="00A00FF8"/>
    <w:rsid w:val="00A0709F"/>
    <w:rsid w:val="00A077C6"/>
    <w:rsid w:val="00A07FE4"/>
    <w:rsid w:val="00A1536B"/>
    <w:rsid w:val="00A159C1"/>
    <w:rsid w:val="00A17088"/>
    <w:rsid w:val="00A215AA"/>
    <w:rsid w:val="00A30FB6"/>
    <w:rsid w:val="00A379B6"/>
    <w:rsid w:val="00A42552"/>
    <w:rsid w:val="00A47907"/>
    <w:rsid w:val="00A527CD"/>
    <w:rsid w:val="00A61B80"/>
    <w:rsid w:val="00A66D46"/>
    <w:rsid w:val="00A67351"/>
    <w:rsid w:val="00A73CDE"/>
    <w:rsid w:val="00A76AA5"/>
    <w:rsid w:val="00A77684"/>
    <w:rsid w:val="00A77A7A"/>
    <w:rsid w:val="00A96DDE"/>
    <w:rsid w:val="00AA6D28"/>
    <w:rsid w:val="00AB5DE0"/>
    <w:rsid w:val="00AC7BBC"/>
    <w:rsid w:val="00AD380F"/>
    <w:rsid w:val="00AD4A49"/>
    <w:rsid w:val="00AE14EE"/>
    <w:rsid w:val="00AE63B4"/>
    <w:rsid w:val="00AF063E"/>
    <w:rsid w:val="00AF075E"/>
    <w:rsid w:val="00AF3A72"/>
    <w:rsid w:val="00AF41DF"/>
    <w:rsid w:val="00B05A34"/>
    <w:rsid w:val="00B0749B"/>
    <w:rsid w:val="00B1138D"/>
    <w:rsid w:val="00B11A3C"/>
    <w:rsid w:val="00B14B6D"/>
    <w:rsid w:val="00B17526"/>
    <w:rsid w:val="00B21216"/>
    <w:rsid w:val="00B218F5"/>
    <w:rsid w:val="00B22D29"/>
    <w:rsid w:val="00B23924"/>
    <w:rsid w:val="00B25355"/>
    <w:rsid w:val="00B258AA"/>
    <w:rsid w:val="00B3065F"/>
    <w:rsid w:val="00B31DF6"/>
    <w:rsid w:val="00B32A1A"/>
    <w:rsid w:val="00B354EB"/>
    <w:rsid w:val="00B41A68"/>
    <w:rsid w:val="00B46940"/>
    <w:rsid w:val="00B64C83"/>
    <w:rsid w:val="00B64DDA"/>
    <w:rsid w:val="00B740C4"/>
    <w:rsid w:val="00B74AD3"/>
    <w:rsid w:val="00B87C06"/>
    <w:rsid w:val="00B908EF"/>
    <w:rsid w:val="00B915BB"/>
    <w:rsid w:val="00B92758"/>
    <w:rsid w:val="00BA5E3D"/>
    <w:rsid w:val="00BA64C8"/>
    <w:rsid w:val="00BB02F9"/>
    <w:rsid w:val="00BB35E9"/>
    <w:rsid w:val="00BB555D"/>
    <w:rsid w:val="00BB74B9"/>
    <w:rsid w:val="00BC6DC4"/>
    <w:rsid w:val="00BD1884"/>
    <w:rsid w:val="00BD5918"/>
    <w:rsid w:val="00BD5EF4"/>
    <w:rsid w:val="00BD6E5B"/>
    <w:rsid w:val="00BE0C00"/>
    <w:rsid w:val="00BE21F4"/>
    <w:rsid w:val="00BE48A2"/>
    <w:rsid w:val="00BF3C32"/>
    <w:rsid w:val="00BF53B3"/>
    <w:rsid w:val="00C00C45"/>
    <w:rsid w:val="00C02BE1"/>
    <w:rsid w:val="00C02E48"/>
    <w:rsid w:val="00C2068C"/>
    <w:rsid w:val="00C22075"/>
    <w:rsid w:val="00C24CA0"/>
    <w:rsid w:val="00C26353"/>
    <w:rsid w:val="00C272BB"/>
    <w:rsid w:val="00C32C5B"/>
    <w:rsid w:val="00C36977"/>
    <w:rsid w:val="00C36E49"/>
    <w:rsid w:val="00C40B65"/>
    <w:rsid w:val="00C443F9"/>
    <w:rsid w:val="00C47306"/>
    <w:rsid w:val="00C522C2"/>
    <w:rsid w:val="00C63A06"/>
    <w:rsid w:val="00C63D65"/>
    <w:rsid w:val="00C662A9"/>
    <w:rsid w:val="00C70E7F"/>
    <w:rsid w:val="00C70EB7"/>
    <w:rsid w:val="00C75A08"/>
    <w:rsid w:val="00C81291"/>
    <w:rsid w:val="00C819A9"/>
    <w:rsid w:val="00C83B79"/>
    <w:rsid w:val="00C84B76"/>
    <w:rsid w:val="00C929D3"/>
    <w:rsid w:val="00C93A89"/>
    <w:rsid w:val="00C94619"/>
    <w:rsid w:val="00C94F5C"/>
    <w:rsid w:val="00C956BC"/>
    <w:rsid w:val="00CA3F07"/>
    <w:rsid w:val="00CB7409"/>
    <w:rsid w:val="00CB7E49"/>
    <w:rsid w:val="00CC1FD0"/>
    <w:rsid w:val="00CC6628"/>
    <w:rsid w:val="00CD270F"/>
    <w:rsid w:val="00CD3437"/>
    <w:rsid w:val="00CD7609"/>
    <w:rsid w:val="00CE0A6A"/>
    <w:rsid w:val="00CE47BD"/>
    <w:rsid w:val="00CE544C"/>
    <w:rsid w:val="00CE66BE"/>
    <w:rsid w:val="00CE6D61"/>
    <w:rsid w:val="00D011C6"/>
    <w:rsid w:val="00D02198"/>
    <w:rsid w:val="00D022C3"/>
    <w:rsid w:val="00D0314A"/>
    <w:rsid w:val="00D06B38"/>
    <w:rsid w:val="00D13D61"/>
    <w:rsid w:val="00D168FF"/>
    <w:rsid w:val="00D20CDA"/>
    <w:rsid w:val="00D22902"/>
    <w:rsid w:val="00D25666"/>
    <w:rsid w:val="00D2714E"/>
    <w:rsid w:val="00D279E6"/>
    <w:rsid w:val="00D27B41"/>
    <w:rsid w:val="00D30DF9"/>
    <w:rsid w:val="00D323C1"/>
    <w:rsid w:val="00D35793"/>
    <w:rsid w:val="00D42C61"/>
    <w:rsid w:val="00D474C6"/>
    <w:rsid w:val="00D56403"/>
    <w:rsid w:val="00D5781E"/>
    <w:rsid w:val="00D6125D"/>
    <w:rsid w:val="00D62259"/>
    <w:rsid w:val="00D629D0"/>
    <w:rsid w:val="00D637A4"/>
    <w:rsid w:val="00D66026"/>
    <w:rsid w:val="00D87E7E"/>
    <w:rsid w:val="00D87F67"/>
    <w:rsid w:val="00D92FA0"/>
    <w:rsid w:val="00D93F44"/>
    <w:rsid w:val="00D945C1"/>
    <w:rsid w:val="00D94BF8"/>
    <w:rsid w:val="00D95567"/>
    <w:rsid w:val="00D95FCB"/>
    <w:rsid w:val="00DA1BF8"/>
    <w:rsid w:val="00DA692C"/>
    <w:rsid w:val="00DB38E6"/>
    <w:rsid w:val="00DB53BB"/>
    <w:rsid w:val="00DB6920"/>
    <w:rsid w:val="00DB6C71"/>
    <w:rsid w:val="00DB6DAF"/>
    <w:rsid w:val="00DC32CF"/>
    <w:rsid w:val="00DC644E"/>
    <w:rsid w:val="00DD0C28"/>
    <w:rsid w:val="00DE0E7F"/>
    <w:rsid w:val="00DE0FCB"/>
    <w:rsid w:val="00DF1A14"/>
    <w:rsid w:val="00DF3818"/>
    <w:rsid w:val="00DF393B"/>
    <w:rsid w:val="00DF6BE2"/>
    <w:rsid w:val="00E03227"/>
    <w:rsid w:val="00E04F96"/>
    <w:rsid w:val="00E12AE0"/>
    <w:rsid w:val="00E14E13"/>
    <w:rsid w:val="00E175D3"/>
    <w:rsid w:val="00E23C7B"/>
    <w:rsid w:val="00E259C0"/>
    <w:rsid w:val="00E27D11"/>
    <w:rsid w:val="00E3579F"/>
    <w:rsid w:val="00E42478"/>
    <w:rsid w:val="00E42592"/>
    <w:rsid w:val="00E46B9B"/>
    <w:rsid w:val="00E46F7A"/>
    <w:rsid w:val="00E60D75"/>
    <w:rsid w:val="00E666FD"/>
    <w:rsid w:val="00E67092"/>
    <w:rsid w:val="00E7628F"/>
    <w:rsid w:val="00E767DC"/>
    <w:rsid w:val="00E7707B"/>
    <w:rsid w:val="00E7796F"/>
    <w:rsid w:val="00E80B8C"/>
    <w:rsid w:val="00E80DFE"/>
    <w:rsid w:val="00E82FBE"/>
    <w:rsid w:val="00E83FE3"/>
    <w:rsid w:val="00E905C4"/>
    <w:rsid w:val="00E949F0"/>
    <w:rsid w:val="00EA41AC"/>
    <w:rsid w:val="00EA512A"/>
    <w:rsid w:val="00EA6CC3"/>
    <w:rsid w:val="00EB1D0B"/>
    <w:rsid w:val="00EB3F20"/>
    <w:rsid w:val="00EB4ED1"/>
    <w:rsid w:val="00EB54EE"/>
    <w:rsid w:val="00EB5B91"/>
    <w:rsid w:val="00EB5FE0"/>
    <w:rsid w:val="00EC60B3"/>
    <w:rsid w:val="00ED38CF"/>
    <w:rsid w:val="00ED3A7C"/>
    <w:rsid w:val="00EE01D9"/>
    <w:rsid w:val="00EF30C2"/>
    <w:rsid w:val="00EF33F4"/>
    <w:rsid w:val="00F03DC8"/>
    <w:rsid w:val="00F04235"/>
    <w:rsid w:val="00F050E4"/>
    <w:rsid w:val="00F06097"/>
    <w:rsid w:val="00F137D2"/>
    <w:rsid w:val="00F14D41"/>
    <w:rsid w:val="00F1513A"/>
    <w:rsid w:val="00F16788"/>
    <w:rsid w:val="00F16E26"/>
    <w:rsid w:val="00F23168"/>
    <w:rsid w:val="00F26230"/>
    <w:rsid w:val="00F30121"/>
    <w:rsid w:val="00F31A73"/>
    <w:rsid w:val="00F32A73"/>
    <w:rsid w:val="00F32AD9"/>
    <w:rsid w:val="00F3726F"/>
    <w:rsid w:val="00F40703"/>
    <w:rsid w:val="00F40DFD"/>
    <w:rsid w:val="00F46A0E"/>
    <w:rsid w:val="00F52E67"/>
    <w:rsid w:val="00F52FEB"/>
    <w:rsid w:val="00F619E9"/>
    <w:rsid w:val="00F62E24"/>
    <w:rsid w:val="00F6532E"/>
    <w:rsid w:val="00F712EC"/>
    <w:rsid w:val="00F757AD"/>
    <w:rsid w:val="00F7735B"/>
    <w:rsid w:val="00F90F80"/>
    <w:rsid w:val="00FA353C"/>
    <w:rsid w:val="00FA38F2"/>
    <w:rsid w:val="00FA49BD"/>
    <w:rsid w:val="00FA66C8"/>
    <w:rsid w:val="00FB208A"/>
    <w:rsid w:val="00FB70BA"/>
    <w:rsid w:val="00FB7F93"/>
    <w:rsid w:val="00FC54DC"/>
    <w:rsid w:val="00FD1704"/>
    <w:rsid w:val="00FD230B"/>
    <w:rsid w:val="00FD36B8"/>
    <w:rsid w:val="00FE0828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11"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8"/>
    <w:uiPriority w:val="59"/>
    <w:rsid w:val="0010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354551CA67BDCFED63FF3C81F12052FC72BC0C6E1590CCF273B0227803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7109-C3AA-4F00-8208-7DBA51EF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14</Pages>
  <Words>6153</Words>
  <Characters>35075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715</cp:revision>
  <cp:lastPrinted>2020-12-10T13:45:00Z</cp:lastPrinted>
  <dcterms:created xsi:type="dcterms:W3CDTF">2018-04-16T10:00:00Z</dcterms:created>
  <dcterms:modified xsi:type="dcterms:W3CDTF">2021-12-23T11:45:00Z</dcterms:modified>
</cp:coreProperties>
</file>