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3" w:rsidRP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bookmarkStart w:id="0" w:name="_GoBack"/>
      <w:bookmarkEnd w:id="0"/>
      <w:r w:rsidRPr="007A1BF3">
        <w:rPr>
          <w:u w:val="single"/>
        </w:rPr>
        <w:t>Администрация Суражского района Брянской области</w:t>
      </w:r>
    </w:p>
    <w:p w:rsidR="007A1BF3" w:rsidRPr="00A5544D" w:rsidRDefault="007A1BF3" w:rsidP="007A1BF3">
      <w:pPr>
        <w:jc w:val="center"/>
      </w:pPr>
    </w:p>
    <w:p w:rsid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7A1BF3" w:rsidRPr="005B7CDC" w:rsidRDefault="007A1BF3" w:rsidP="007A1BF3">
      <w:pPr>
        <w:jc w:val="center"/>
      </w:pPr>
    </w:p>
    <w:p w:rsidR="007A1BF3" w:rsidRPr="00196FCC" w:rsidRDefault="007A1BF3" w:rsidP="007A1BF3">
      <w:pPr>
        <w:jc w:val="center"/>
        <w:rPr>
          <w:b/>
          <w:spacing w:val="20"/>
          <w:sz w:val="48"/>
          <w:szCs w:val="48"/>
        </w:rPr>
      </w:pPr>
    </w:p>
    <w:p w:rsidR="007A1BF3" w:rsidRPr="00851D77" w:rsidRDefault="007A1BF3" w:rsidP="007A1BF3">
      <w:r w:rsidRPr="00851D77">
        <w:t xml:space="preserve">от  </w:t>
      </w:r>
      <w:r>
        <w:t>27</w:t>
      </w:r>
      <w:r w:rsidRPr="00851D77">
        <w:t>.</w:t>
      </w:r>
      <w:r>
        <w:t>12</w:t>
      </w:r>
      <w:r w:rsidRPr="00851D77">
        <w:t>.201</w:t>
      </w:r>
      <w:r>
        <w:t>7</w:t>
      </w:r>
      <w:r w:rsidRPr="00851D77">
        <w:t xml:space="preserve"> г. №</w:t>
      </w:r>
      <w:r>
        <w:t xml:space="preserve"> 1381</w:t>
      </w:r>
    </w:p>
    <w:p w:rsidR="007A1BF3" w:rsidRPr="00851D77" w:rsidRDefault="007A1BF3" w:rsidP="007A1BF3">
      <w:r w:rsidRPr="00851D77">
        <w:t>г. Сураж</w:t>
      </w:r>
    </w:p>
    <w:p w:rsidR="007A1BF3" w:rsidRPr="00851D77" w:rsidRDefault="007A1BF3" w:rsidP="007A1BF3"/>
    <w:p w:rsidR="007A1BF3" w:rsidRPr="00851D77" w:rsidRDefault="007A1BF3" w:rsidP="007A1BF3">
      <w:pPr>
        <w:jc w:val="both"/>
      </w:pPr>
      <w:r w:rsidRPr="00851D77">
        <w:t xml:space="preserve">Об утверждении муниципальной программы </w:t>
      </w:r>
    </w:p>
    <w:p w:rsidR="007A1BF3" w:rsidRDefault="007A1BF3" w:rsidP="007A1BF3">
      <w:pPr>
        <w:jc w:val="both"/>
      </w:pPr>
      <w:r w:rsidRPr="00851D77">
        <w:t>«</w:t>
      </w:r>
      <w:r>
        <w:t>Управление муниципальными финансами</w:t>
      </w:r>
    </w:p>
    <w:p w:rsidR="007A1BF3" w:rsidRDefault="007A1BF3" w:rsidP="007A1BF3">
      <w:pPr>
        <w:jc w:val="both"/>
      </w:pPr>
      <w:r>
        <w:t>Суражского района</w:t>
      </w:r>
    </w:p>
    <w:p w:rsidR="007A1BF3" w:rsidRPr="00851D77" w:rsidRDefault="007A1BF3" w:rsidP="007A1BF3">
      <w:pPr>
        <w:jc w:val="both"/>
      </w:pPr>
      <w:r>
        <w:t xml:space="preserve">на  </w:t>
      </w:r>
      <w:r w:rsidRPr="00851D77">
        <w:t>201</w:t>
      </w:r>
      <w:r>
        <w:t>8</w:t>
      </w:r>
      <w:r w:rsidRPr="00851D77">
        <w:t xml:space="preserve"> – 20</w:t>
      </w:r>
      <w:r>
        <w:t>20</w:t>
      </w:r>
      <w:r w:rsidRPr="00851D77">
        <w:t xml:space="preserve"> годы</w:t>
      </w:r>
      <w:r>
        <w:t>»</w:t>
      </w:r>
    </w:p>
    <w:p w:rsidR="007A1BF3" w:rsidRPr="00FC4475" w:rsidRDefault="007A1BF3" w:rsidP="007A1BF3">
      <w:pPr>
        <w:jc w:val="both"/>
        <w:rPr>
          <w:sz w:val="26"/>
          <w:szCs w:val="26"/>
        </w:rPr>
      </w:pPr>
    </w:p>
    <w:p w:rsidR="007A1BF3" w:rsidRPr="00851D77" w:rsidRDefault="007A1BF3" w:rsidP="007A1BF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В соответствии с постановлениями администрации Суражского муниципального района от 10 августа 2012 года № 413 «Об утверждении Порядка разработки, реализации и оценки эффективности муниципальных программ Суражского района», от </w:t>
      </w:r>
      <w:r>
        <w:rPr>
          <w:sz w:val="28"/>
          <w:szCs w:val="28"/>
        </w:rPr>
        <w:t>25 октября</w:t>
      </w:r>
      <w:r w:rsidRPr="00851D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51D7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1080</w:t>
      </w:r>
      <w:r w:rsidRPr="00851D77">
        <w:rPr>
          <w:sz w:val="28"/>
          <w:szCs w:val="28"/>
        </w:rPr>
        <w:t xml:space="preserve"> «Об утверждении перечня муниципальных программ (подпрограмм) Суражского района»,  </w:t>
      </w:r>
    </w:p>
    <w:p w:rsidR="007A1BF3" w:rsidRPr="00851D77" w:rsidRDefault="007A1BF3" w:rsidP="007A1B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D77">
        <w:rPr>
          <w:sz w:val="28"/>
          <w:szCs w:val="28"/>
        </w:rPr>
        <w:t>ПОСТАНОВЛЯЮ:</w:t>
      </w:r>
    </w:p>
    <w:p w:rsidR="007A1BF3" w:rsidRPr="00851D77" w:rsidRDefault="007A1BF3" w:rsidP="007A1B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 xml:space="preserve">Управление муниципальными финансами Суражского района на </w:t>
      </w:r>
      <w:r w:rsidRPr="00851D7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51D7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851D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51D77">
        <w:rPr>
          <w:sz w:val="28"/>
          <w:szCs w:val="28"/>
        </w:rPr>
        <w:t>.</w:t>
      </w:r>
    </w:p>
    <w:p w:rsidR="007A1BF3" w:rsidRPr="00851D77" w:rsidRDefault="007A1BF3" w:rsidP="007A1B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>Опубликовать настоящее Постановление 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сети Интернет.</w:t>
      </w:r>
    </w:p>
    <w:p w:rsidR="007A1BF3" w:rsidRPr="00851D77" w:rsidRDefault="007A1BF3" w:rsidP="007A1BF3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Контроль за</w:t>
      </w:r>
      <w:proofErr w:type="gramEnd"/>
      <w:r w:rsidRPr="00851D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1BF3" w:rsidRDefault="007A1BF3" w:rsidP="007A1BF3">
      <w:pPr>
        <w:spacing w:line="360" w:lineRule="auto"/>
        <w:jc w:val="both"/>
        <w:rPr>
          <w:b/>
        </w:rPr>
      </w:pPr>
    </w:p>
    <w:p w:rsidR="007A1BF3" w:rsidRPr="00851D77" w:rsidRDefault="007A1BF3" w:rsidP="007A1BF3">
      <w:pPr>
        <w:spacing w:line="360" w:lineRule="auto"/>
        <w:jc w:val="both"/>
        <w:rPr>
          <w:b/>
        </w:rPr>
      </w:pPr>
    </w:p>
    <w:p w:rsidR="007A1BF3" w:rsidRPr="0022480D" w:rsidRDefault="007A1BF3" w:rsidP="007A1BF3">
      <w:pPr>
        <w:jc w:val="both"/>
        <w:rPr>
          <w:b/>
          <w:sz w:val="26"/>
          <w:szCs w:val="26"/>
        </w:rPr>
      </w:pPr>
    </w:p>
    <w:p w:rsidR="007A1BF3" w:rsidRPr="00851D77" w:rsidRDefault="007A1BF3" w:rsidP="007A1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851D77">
        <w:rPr>
          <w:b/>
          <w:sz w:val="28"/>
          <w:szCs w:val="28"/>
        </w:rPr>
        <w:t xml:space="preserve"> администрации</w:t>
      </w:r>
    </w:p>
    <w:p w:rsidR="007A1BF3" w:rsidRPr="00851D77" w:rsidRDefault="007A1BF3" w:rsidP="007A1BF3">
      <w:pPr>
        <w:jc w:val="both"/>
        <w:rPr>
          <w:b/>
          <w:sz w:val="28"/>
          <w:szCs w:val="28"/>
        </w:rPr>
      </w:pPr>
      <w:r w:rsidRPr="00851D77">
        <w:rPr>
          <w:b/>
          <w:sz w:val="28"/>
          <w:szCs w:val="28"/>
        </w:rPr>
        <w:t xml:space="preserve">Суражского района                                                                 </w:t>
      </w:r>
      <w:r>
        <w:rPr>
          <w:b/>
          <w:sz w:val="28"/>
          <w:szCs w:val="28"/>
        </w:rPr>
        <w:t>А.Н.Максименко</w:t>
      </w: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</w:pPr>
      <w:r>
        <w:t>Толока С.В.</w:t>
      </w:r>
    </w:p>
    <w:p w:rsidR="007A1BF3" w:rsidRPr="00D20105" w:rsidRDefault="007A1BF3" w:rsidP="007A1BF3">
      <w:pPr>
        <w:autoSpaceDE w:val="0"/>
        <w:autoSpaceDN w:val="0"/>
        <w:adjustRightInd w:val="0"/>
        <w:jc w:val="both"/>
      </w:pPr>
      <w:r>
        <w:t>2-14-58</w:t>
      </w: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F21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от 27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B0F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1381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DB0F2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ПАСПОРТ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ый отдел</w:t>
      </w:r>
      <w:r w:rsidRPr="00DB0F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Перечень подпрограмм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Нет.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создание условий для оптимизации и повышения эффективности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Задачи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</w:t>
      </w:r>
      <w:r>
        <w:rPr>
          <w:rFonts w:ascii="Times New Roman" w:hAnsi="Times New Roman" w:cs="Times New Roman"/>
          <w:sz w:val="24"/>
          <w:szCs w:val="24"/>
        </w:rPr>
        <w:t>недопущение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B0F21">
        <w:rPr>
          <w:rFonts w:ascii="Times New Roman" w:hAnsi="Times New Roman" w:cs="Times New Roman"/>
          <w:sz w:val="24"/>
          <w:szCs w:val="24"/>
        </w:rPr>
        <w:t xml:space="preserve"> муниципального долга;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финансовой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внедрение современных методов и технологий управления муниципальными финансами;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повышение прозрачности и открытости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r>
        <w:rPr>
          <w:rFonts w:ascii="Times New Roman" w:hAnsi="Times New Roman" w:cs="Times New Roman"/>
          <w:sz w:val="24"/>
          <w:szCs w:val="24"/>
        </w:rPr>
        <w:t>Суражском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1-й этап: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8 - 2020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>
        <w:rPr>
          <w:rFonts w:ascii="Times New Roman" w:hAnsi="Times New Roman" w:cs="Times New Roman"/>
          <w:sz w:val="24"/>
          <w:szCs w:val="24"/>
        </w:rPr>
        <w:t>22 315 188,00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0F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7 438 396,00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7 438 396,00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7 438 396,00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Положительная динамика налоговых и неналоговых доходов районного бюджета (к предыдущему году):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- 101,0%;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- 103,5%;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- 105,7%.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Отклонение фактического объема налоговых и неналоговых доходов от первоначального плана: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Доля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отчетного периода в общем объеме расходов бюджета района: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Обеспечение публикации в сети Интернет информации о системе управления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Отношение объема муниципального долга по состоянию на 1 января к общему годовому объему доходов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(без учета утвержденного объема безвозмездных поступлений и (или) поступлений налоговых доходов по дополнительным нормативам отчислений):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Превышение ставки по привлеченным кредитам коммерческих банков над ключевой ставкой Банка России: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Объем межбюджетных трансфертов, предоставляемых бюджетам городских и сельских поселений: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программы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Муниципальная программа "Управление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направлена на обеспечение выполнения функций и полномочий финансового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осуществление мероприятий, направленных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>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сбалансированности и устойчивости финансовой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концентрацию финансовых ресурсов на приоритетных направлениях социально-экономического развития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нормативно-правового регулирования в сфере компетенции управления;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единого методологического подхода к ведению финансового, бюджетного учета и отчетности на территории района.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"Управление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осуществляются следующие мероприятия: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формирование проектов решений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о внесении изменений в бюджет муниципального района, необходимых документов и материалов к ним;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нормативно-правовое регулирование в установленной сфере деятельности;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разработка основных направлений бюджетной политики и основных направлений налоговой политики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и подготовка предложений о выделении приоритетных направлений бюджетного финансирования;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исполнения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составление и ведение кассового плана;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проведение оценки эффективности предоставляемых (планируемых к предоставлению) налоговых льгот;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муниципального внутреннего заимствования;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управление муниципальным долгом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сбора, анализа и предоставления в федеральные и областные органы государственной власти информации в сфере компетенции;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рассмотрение и подготовка обоснованных заключений на проекты решений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по вопросам, входящим в компетенцию финансового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B0F21">
        <w:rPr>
          <w:rFonts w:ascii="Times New Roman" w:hAnsi="Times New Roman" w:cs="Times New Roman"/>
          <w:sz w:val="24"/>
          <w:szCs w:val="24"/>
        </w:rPr>
        <w:t>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рассмотрение и согласование проектов муниципальных программ;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 - управление средствами на едином счете бюджета;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составление бюджетной отчетности по бюджету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представление бюджетной отчетности об исполнении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в департамент финансов Брянской области;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ежеквартальное формирование отчетности об исполнении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и представление ее для утверждения в </w:t>
      </w:r>
      <w:r>
        <w:rPr>
          <w:rFonts w:ascii="Times New Roman" w:hAnsi="Times New Roman" w:cs="Times New Roman"/>
          <w:sz w:val="24"/>
          <w:szCs w:val="24"/>
        </w:rPr>
        <w:t>Суражский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подготовка проектов методик и расчетов межбюджетных отношений между районным бюджетом и бюджетами городских и сельских поселений;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и подготовка вопросов на коллегию при главе администрации района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DB0F21">
        <w:rPr>
          <w:rFonts w:ascii="Times New Roman" w:hAnsi="Times New Roman" w:cs="Times New Roman"/>
          <w:sz w:val="24"/>
          <w:szCs w:val="24"/>
        </w:rPr>
        <w:t>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ведение реестра расходных обязательств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формирование сводного реестра расходных обязательств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ведение реестра главных распорядителей и получателей бюджетных средств;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проверка документов и подготовка проектов нормативных правовых актов о выделении средств из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единой политики в сфере информационных технологий и программных продуктов, используемых в управлении общественными финансами;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организация учета потребности в предоставляемых муниципальных услугах;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совершенствование финансового планирования на ведомственном уровне;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согласование проектов решений налоговых органов о предоставлении отсрочек, рассрочек, инвестиционных налоговых кредитов по уплате налогов и сборов, подлежащих зачислению в районный бюджет;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мониторинг дебиторской задолженности, отсроченных и рассроченных платежей;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мониторинг и урегулирование просроченной кредиторской задолженности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мониторинг оценки качества управления финансами и платежеспособности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определение исходных данных для формирования межбюджетных отношений с муниципальными образованиями района и проведение согласования с органами местного самоуправления городских и сельских поселений для расчетов и распределения средств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направляемых на выравнивание бюджетной обеспеченности муниципальных образований и на поддержку мер по обеспечению сбалансированности </w:t>
      </w:r>
      <w:r w:rsidRPr="00DB0F21">
        <w:rPr>
          <w:rFonts w:ascii="Times New Roman" w:hAnsi="Times New Roman" w:cs="Times New Roman"/>
          <w:sz w:val="24"/>
          <w:szCs w:val="24"/>
        </w:rPr>
        <w:lastRenderedPageBreak/>
        <w:t>бюджетов поселений.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ежегодное составление формы с показателями, необходимыми для формирования межбюджетных отношений с поселениями,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муниципальных образований и на поддержку мер по обеспечению сбалансированности местных бюджетов;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распределение средств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направляемых на выравнивание бюджетной обеспеченности муниципальных образований и на поддержку мер по обеспечению сбалансированности бюджетов поселений, по утвержденным порядкам и методикам в соответствии с бюджетным законодательством.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Характеристика текущего состояния системы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управления муниципальными финансами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Основной целью политики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в сфере налоговых и неналоговых доходов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 остается сохранение и увеличение налогового потенциала района для обеспечения расходных обязательств.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За последние годы в сфере управления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были достигнуты существенные позитивные изменения.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С целью обеспечения финансовой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безопасном для района уровне.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Была сформирована нормативная база и запланированы средства резервного фонда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ограничивалось принятие новых расходных обязательств, не обеспеченных финансовыми ресурсами, проводилась политика поддержания сбалансированности местных бюджетов, а также безусловное исполнение принятых социальных обязательств и задач, предусмотренных указами Президента Российской Федерации.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Продолжаются структурные изменения в отраслях социальной сферы, направленные на повышение эффективности и качества услуг в сферах образования и культуры. Бюджет района, как 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году, сформирован с применением программной классификации расходов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на основе утвержденных муниципальными правовыми актами муниципальных программ.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3. Сформирована нормативная база и обеспечено практическое внедрение новых форм оказания и финансового обеспечения оказания муниципальных услуг, создание системы мониторинга качества финансового менеджмента, осуществляемого главными распорядителями средств бюджета района и муниципальными образованиями.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4. С целью обеспечения открытости и прозрачности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все материалы, регулирующие бюджетный процесс, размещаются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5. Продолжается процесс обновления технических и программных комплексов автоматизации бюджетного процесса с целью сокращения сроков бюджетных процедур, включения всех участников бюджетного процесса в единое информационное пространство.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Основные показатели, характеризующие состояние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системы управления муниципальными финансами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(201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1560"/>
        <w:gridCol w:w="1440"/>
        <w:gridCol w:w="1560"/>
      </w:tblGrid>
      <w:tr w:rsidR="00DB0F21" w:rsidRPr="00DB0F21">
        <w:tc>
          <w:tcPr>
            <w:tcW w:w="45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 показателей результатов)</w:t>
            </w:r>
          </w:p>
        </w:tc>
        <w:tc>
          <w:tcPr>
            <w:tcW w:w="1560" w:type="dxa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6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0F21" w:rsidRPr="00DB0F21">
        <w:tc>
          <w:tcPr>
            <w:tcW w:w="4500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состоянию на конец отчетного периода, тыс. рублей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F21" w:rsidRPr="00DB0F21">
        <w:tc>
          <w:tcPr>
            <w:tcW w:w="4500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района, %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F21" w:rsidRPr="00DB0F21">
        <w:tc>
          <w:tcPr>
            <w:tcW w:w="4500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DB0F21" w:rsidRPr="00DB0F21">
        <w:tc>
          <w:tcPr>
            <w:tcW w:w="4500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района, формируемых в рамках муниципальных программ, %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44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</w:tr>
      <w:tr w:rsidR="00DB0F21" w:rsidRPr="00DB0F21">
        <w:tc>
          <w:tcPr>
            <w:tcW w:w="4500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Структура муниципального долга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(201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является одним из важных компонентов системы управления финансовыми средствами.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01.01.201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0,0 тыс. рублей</w:t>
      </w:r>
      <w:r w:rsidRPr="00DB0F21">
        <w:rPr>
          <w:rFonts w:ascii="Times New Roman" w:hAnsi="Times New Roman" w:cs="Times New Roman"/>
          <w:sz w:val="24"/>
          <w:szCs w:val="24"/>
        </w:rPr>
        <w:t>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Соблюдаются требования </w:t>
      </w:r>
      <w:hyperlink r:id="rId6" w:history="1">
        <w:r w:rsidRPr="00DB0F21">
          <w:rPr>
            <w:rFonts w:ascii="Times New Roman" w:hAnsi="Times New Roman" w:cs="Times New Roman"/>
            <w:color w:val="0000FF"/>
            <w:sz w:val="24"/>
            <w:szCs w:val="24"/>
          </w:rPr>
          <w:t>статьи 111</w:t>
        </w:r>
      </w:hyperlink>
      <w:r w:rsidRPr="00DB0F2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объемов расходов на обслуживание муниципального долга.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Бюджетные кредиты юридическим лицам и муниципальные гарантии в 2016 году не предоставлялись.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1920"/>
        <w:gridCol w:w="1680"/>
        <w:gridCol w:w="1560"/>
      </w:tblGrid>
      <w:tr w:rsidR="00DB0F21" w:rsidRPr="00DB0F21">
        <w:tc>
          <w:tcPr>
            <w:tcW w:w="3900" w:type="dxa"/>
            <w:vAlign w:val="center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Статьи муниципального долга</w:t>
            </w:r>
          </w:p>
        </w:tc>
        <w:tc>
          <w:tcPr>
            <w:tcW w:w="192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0F21" w:rsidRPr="00DB0F21">
        <w:tc>
          <w:tcPr>
            <w:tcW w:w="3900" w:type="dxa"/>
            <w:vAlign w:val="center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организаций, тыс. рублей</w:t>
            </w:r>
          </w:p>
        </w:tc>
        <w:tc>
          <w:tcPr>
            <w:tcW w:w="1920" w:type="dxa"/>
            <w:vAlign w:val="center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F21" w:rsidRPr="00DB0F21">
        <w:tc>
          <w:tcPr>
            <w:tcW w:w="3900" w:type="dxa"/>
            <w:vAlign w:val="center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Бюджетные кредиты, тыс. рублей</w:t>
            </w:r>
          </w:p>
        </w:tc>
        <w:tc>
          <w:tcPr>
            <w:tcW w:w="192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F21" w:rsidRPr="00DB0F21">
        <w:tc>
          <w:tcPr>
            <w:tcW w:w="3900" w:type="dxa"/>
            <w:vAlign w:val="center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 тыс. рублей</w:t>
            </w:r>
          </w:p>
        </w:tc>
        <w:tc>
          <w:tcPr>
            <w:tcW w:w="192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F21" w:rsidRPr="00DB0F21">
        <w:tc>
          <w:tcPr>
            <w:tcW w:w="3900" w:type="dxa"/>
            <w:vAlign w:val="center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192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F21" w:rsidRPr="00DB0F21">
        <w:tc>
          <w:tcPr>
            <w:tcW w:w="3900" w:type="dxa"/>
            <w:vAlign w:val="center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долга, тыс. рублей</w:t>
            </w:r>
          </w:p>
        </w:tc>
        <w:tc>
          <w:tcPr>
            <w:tcW w:w="192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B0F21" w:rsidRPr="00DB0F21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Остается актуальной работа, направленная на повышение финансовой дисциплины органов местного самоуправления, улучшение финансовых показателей местных бюджетов, контроль за соблюдение основных условий предоставления межбюджетных трансфертов из бюджетов, а также обеспечение выполнения условий соглашений о мерах по повышению эффективности использования бюджетных средств и увеличению налоговых и неналоговых доходов бюджетов муниципальных образований.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3. Приоритеты и цели бюджетной политики в сфере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управления муниципальными финансами, цели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и задачи муниципальной программы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повышение качества управления финансами в общественном секторе;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повышение прозрачности и подотчетности деятельности органов муниципальной власти, в том числе за счет внедрения требований к публичности показателей их деятельности.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Целями муниципальной программы являются: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долгосрочной сбалансированности и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создание условий для оптимизации и повышения эффективности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условий для эффективного выполнения полномочий органов местного самоуправления.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поэтапное сокращение муниципального долга;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финансовой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внедрение современных методов и технологий управления муниципальными финансами;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повышение прозрачности и открытости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r>
        <w:rPr>
          <w:rFonts w:ascii="Times New Roman" w:hAnsi="Times New Roman" w:cs="Times New Roman"/>
          <w:sz w:val="24"/>
          <w:szCs w:val="24"/>
        </w:rPr>
        <w:t>Суражском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со следующими основными документами: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послание Президента Российской Федерации Федеральному Собранию Российской Федерации;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бюджетное послание Президента Российской Федерации о бюджетной политике;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долгосрочная бюджетная стратегия Российской Федерации;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Российской Федерации;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налоговой политики Российской Федерации;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Брянской области;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- основные направления налоговой политики Брянской области;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политики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основные направления налоговой политики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4. Этапы и сроки реализации муниципальной программы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на срок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5. Ресурсное обеспечение реализации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>
        <w:rPr>
          <w:rFonts w:ascii="Times New Roman" w:hAnsi="Times New Roman" w:cs="Times New Roman"/>
          <w:sz w:val="24"/>
          <w:szCs w:val="24"/>
        </w:rPr>
        <w:t>22 315 188,00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0F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7 438 396,00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7 438 396,00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7 438 396,00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6. Состав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"Управление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планируется осуществление следующих основных мероприятий и направлений расходов: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Обеспечение финансовой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DB0F21" w:rsidRPr="00DB0F21" w:rsidRDefault="001E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DB0F21" w:rsidRPr="00DB0F21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DB0F21" w:rsidRPr="00DB0F2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представлен в приложении 1 к программе.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7. Сведения о показателях (индикаторах)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муниципальной программы и их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612"/>
        <w:gridCol w:w="1055"/>
        <w:gridCol w:w="1200"/>
        <w:gridCol w:w="1144"/>
        <w:gridCol w:w="1256"/>
        <w:gridCol w:w="1200"/>
        <w:gridCol w:w="1045"/>
      </w:tblGrid>
      <w:tr w:rsidR="00DB0F21" w:rsidRPr="00DB0F21" w:rsidTr="00926D4D">
        <w:tc>
          <w:tcPr>
            <w:tcW w:w="473" w:type="dxa"/>
            <w:vMerge w:val="restart"/>
          </w:tcPr>
          <w:p w:rsidR="00DB0F21" w:rsidRPr="00DB0F21" w:rsidRDefault="0092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2" w:type="dxa"/>
            <w:vMerge w:val="restart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55" w:type="dxa"/>
            <w:vMerge w:val="restart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45" w:type="dxa"/>
            <w:gridSpan w:val="5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DB0F21" w:rsidRPr="00DB0F21" w:rsidTr="00926D4D">
        <w:tc>
          <w:tcPr>
            <w:tcW w:w="473" w:type="dxa"/>
            <w:vMerge/>
          </w:tcPr>
          <w:p w:rsidR="00DB0F21" w:rsidRPr="00DB0F21" w:rsidRDefault="00DB0F2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DB0F21" w:rsidRPr="00DB0F21" w:rsidRDefault="00DB0F21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B0F21" w:rsidRPr="00DB0F21" w:rsidRDefault="00DB0F2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налоговых и неналоговых доходов 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(к предыдущему году)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формируемых в рамках муниципальных программ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(без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DB0F21" w:rsidRPr="00DB0F21" w:rsidTr="00926D4D">
        <w:tc>
          <w:tcPr>
            <w:tcW w:w="473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12" w:type="dxa"/>
          </w:tcPr>
          <w:p w:rsidR="00DB0F21" w:rsidRPr="00DB0F21" w:rsidRDefault="00DB0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05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DB0F21" w:rsidRPr="00DB0F21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8. Методика расчета значений показателей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(индикаторов)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Положительная динамика налоговых и неналоговых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(к предыдущему году) определяется следующим образом: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1E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79.1pt;height:36.45pt" coordsize="" o:spt="100" adj="0,,0" path="" filled="f" stroked="f">
            <v:stroke joinstyle="miter"/>
            <v:imagedata r:id="rId7" o:title="base_23753_46549_6"/>
            <v:formulas/>
            <v:path o:connecttype="segments"/>
          </v:shape>
        </w:pict>
      </w:r>
      <w:r w:rsidR="00DB0F21"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If - исполнение бюджета </w:t>
      </w:r>
      <w:r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отчетный период,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Ip - исполнение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B0F21">
        <w:rPr>
          <w:rFonts w:ascii="Times New Roman" w:hAnsi="Times New Roman" w:cs="Times New Roman"/>
          <w:sz w:val="24"/>
          <w:szCs w:val="24"/>
        </w:rPr>
        <w:t>по налоговым и неналоговым доходам за предыдущий год, рублей.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Отклонение фактического объема налоговых и неналоговых доходов за отчетный период от первоначального плана определяется следующим образом: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1E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pict>
          <v:shape id="_x0000_i1026" style="width:109.35pt;height:36.45pt" coordsize="" o:spt="100" adj="0,,0" path="" filled="f" stroked="f">
            <v:stroke joinstyle="miter"/>
            <v:imagedata r:id="rId8" o:title="base_23753_46549_7"/>
            <v:formulas/>
            <v:path o:connecttype="segments"/>
          </v:shape>
        </w:pict>
      </w:r>
      <w:r w:rsidR="00DB0F21"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Od - отклонение фактического объема налоговых и неналоговых доходов за отчетный период от первоначального плана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If - исполнение бюджета </w:t>
      </w:r>
      <w:r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отчетный период;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Ip - первоначально запланированный на отчетный период объем налоговых и неналоговых доходов, рублей.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Фактическое поступление налоговых и неналоговых доходов содержится в составе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Первоначально запланированный объем поступлений налоговых и неналоговых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содержится в первоначальной редакции решения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период, опубликованного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="00926D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0F21">
        <w:rPr>
          <w:rFonts w:ascii="Times New Roman" w:hAnsi="Times New Roman" w:cs="Times New Roman"/>
          <w:sz w:val="24"/>
          <w:szCs w:val="24"/>
        </w:rPr>
        <w:t>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3. Доля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муниципальной программы, определяется следующим образом: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1E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pict>
          <v:shape id="_x0000_i1027" style="width:88.9pt;height:40pt" coordsize="" o:spt="100" adj="0,,0" path="" filled="f" stroked="f">
            <v:stroke joinstyle="miter"/>
            <v:imagedata r:id="rId9" o:title="base_23753_46549_8"/>
            <v:formulas/>
            <v:path o:connecttype="segments"/>
          </v:shape>
        </w:pict>
      </w:r>
      <w:r w:rsidR="00DB0F21"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R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доля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</w:t>
      </w:r>
      <w:r w:rsidRPr="00DB0F2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ep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объем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исполнение которого осуществлялось в рамках муниципальной программы,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период, рублей.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публикуется в составе отчета об исполнении бюджета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4. Доля просроченной кредиторской задолженности по состоянию на конец отчетного периода в общем объеме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определяется следующим образом: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1E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pict>
          <v:shape id="_x0000_i1028" style="width:84.45pt;height:37.35pt" coordsize="" o:spt="100" adj="0,,0" path="" filled="f" stroked="f">
            <v:stroke joinstyle="miter"/>
            <v:imagedata r:id="rId10" o:title="base_23753_46549_9"/>
            <v:formulas/>
            <v:path o:connecttype="segments"/>
          </v:shape>
        </w:pict>
      </w:r>
      <w:r w:rsidR="00DB0F21"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R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доля просроченной кредиторской задолженности в общем объеме расходов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S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период, рублей.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объеме просроченной кредиторской задолженности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исполнении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 содержится в составе отчетов об исполнении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публикуемых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(www.http://admindtk.ru).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5. Отношение объема муниципального долга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1 января года к общему годовому объему доходов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в отчетном финансовом году (без учета объемов безвозмездных поступлений (или) поступлений налоговых доходов по дополнительным нормативам отчислений) определяется следующим образом: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1E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9" style="width:97.8pt;height:33.8pt" coordsize="" o:spt="100" adj="0,,0" path="" filled="f" stroked="f">
            <v:stroke joinstyle="miter"/>
            <v:imagedata r:id="rId11" o:title="base_23753_46549_10"/>
            <v:formulas/>
            <v:path o:connecttype="segments"/>
          </v:shape>
        </w:pict>
      </w:r>
      <w:r w:rsidR="00DB0F21"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DB0F21" w:rsidRP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A - отношение объема муниципального долга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к утвержденному общему годовому объему доходов без учета утвержденного объема безвозмездных поступлений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Dd -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отчетную дату,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Vr - общий годовой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в отчетном финансовом году,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Vb - утвержденный на отчетный финансовый год объем безвозмездных поступлений, рублей;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Vdn - утвержденный на отчетный финансовый год объем поступлений налоговых доходов по дополнительным нормативам отчислений.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объеме муниципального долга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ежемесячно публикуется в составе выписки из муниципальной долговой книги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общем годовом объеме доходов бюджета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утвержденном объеме безвозмездных поступлений и объеме поступлений налоговых доходов по дополнительным нормативам отчислений публикуется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6D4D">
        <w:rPr>
          <w:rFonts w:ascii="Times New Roman" w:hAnsi="Times New Roman" w:cs="Times New Roman"/>
          <w:sz w:val="24"/>
          <w:szCs w:val="24"/>
        </w:rPr>
        <w:t>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6. Превышение ставки по привлеченным кредитам коммерческих банков над ключевой ставкой Банка России определяется следующим образом: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1E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30" style="width:92.45pt;height:52.45pt" coordsize="" o:spt="100" adj="0,,0" path="" filled="f" stroked="f">
            <v:stroke joinstyle="miter"/>
            <v:imagedata r:id="rId12" o:title="base_23753_46549_11"/>
            <v:formulas/>
            <v:path o:connecttype="segments"/>
          </v:shape>
        </w:pict>
      </w:r>
      <w:r w:rsidR="00DB0F21"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B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превышение ставки по привлеченным кредитам коммерческих банков над ключевой ставкой Банка России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I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ставка по привлеченному i-му кредиту коммерческого банка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I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ir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момент привлечения i-го кредита коммерческого банка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n - количество привлеченных за отчетный период кредитов коммерческих банков, единиц.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Информация о действовавшей в ретроспективном периоде ключевой ставке публикуется на официальном сайте Банка России (www.cbr.ru).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9. Основные риски реализации муниципальной программы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Реализация муниципальной программы связана с риском введения новых (увеличения действующих) расходных обязательств, не обеспеченных финансовыми ресурсами.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Процесс принятия новых (увеличения действующих) расходных обязательств бюджета района контролируется финансовым управлением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решения по введению новых (увеличению действующих) расходных обязательств.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Возникновение расходных обязательств, не обеспеченных финансовыми ресурсами, ставит под угрозу задачи сокращения дефицита бюджета района, неизбежно приведет к образованию кредиторской задолженности.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целях контроля и минимизации данного риска планируется реализация следующих </w:t>
      </w:r>
      <w:r w:rsidRPr="00DB0F21">
        <w:rPr>
          <w:rFonts w:ascii="Times New Roman" w:hAnsi="Times New Roman" w:cs="Times New Roman"/>
          <w:sz w:val="24"/>
          <w:szCs w:val="24"/>
        </w:rPr>
        <w:lastRenderedPageBreak/>
        <w:t>мероприятий: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организация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повышение собираемости налогов и сборов в бюджет района;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инициирование мероприятий по сокращению неэффективных расходов бюджета района, оптимизации сети муниципальных бюджетных учреждений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района, инвентаризации и принятию решений о приватизации муниципального имущества, не связанного с исполнением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своих полномочий.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 целью минимизации риска формального отношения к осуществляемым мероприятиям по повышению эффективности бюджетных расходов планируется: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взаимоувязка целей, задач и результатов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с выделяемыми бюджетными ассигнованиями в рамках единого документа -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соблюдением администрацией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установленных сроков, правил и процедур подготовки документов;</w:t>
      </w:r>
    </w:p>
    <w:p w:rsidR="00DB0F21" w:rsidRPr="00DB0F21" w:rsidRDefault="00DB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повышение прозрачности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сайте администрации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rPr>
          <w:sz w:val="24"/>
          <w:szCs w:val="24"/>
        </w:rPr>
        <w:sectPr w:rsidR="00DB0F21" w:rsidRPr="00DB0F21">
          <w:pgSz w:w="11905" w:h="16838"/>
          <w:pgMar w:top="1134" w:right="850" w:bottom="1134" w:left="1701" w:header="0" w:footer="0" w:gutter="0"/>
          <w:cols w:space="720"/>
        </w:sectPr>
      </w:pPr>
    </w:p>
    <w:p w:rsidR="00DB0F21" w:rsidRPr="00DB0F21" w:rsidRDefault="00DB0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="00926D4D"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>-20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</w:t>
      </w:r>
      <w:r w:rsidR="00926D4D">
        <w:rPr>
          <w:rFonts w:ascii="Times New Roman" w:hAnsi="Times New Roman" w:cs="Times New Roman"/>
          <w:sz w:val="24"/>
          <w:szCs w:val="24"/>
        </w:rPr>
        <w:t>»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55"/>
      <w:bookmarkEnd w:id="2"/>
      <w:r w:rsidRPr="00DB0F2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</w:t>
      </w:r>
      <w:r w:rsidR="00926D4D"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400"/>
      </w:tblGrid>
      <w:tr w:rsidR="00DB0F21" w:rsidRPr="00DB0F21" w:rsidTr="00D97675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40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DB0F21" w:rsidRPr="00DB0F21" w:rsidTr="00D97675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201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8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201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9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20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40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0F21" w:rsidRPr="00DB0F21" w:rsidTr="00D97675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A1BF3" w:rsidRPr="00DB0F21" w:rsidTr="00D97675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Управление муниципальными финансами Суражского района на 2018 - 2020 годы»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Финансовый отдел администрации Суражского района</w:t>
            </w: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19 620 588,00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6 540 196,00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6 540 196,00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6 540 196,00</w:t>
            </w:r>
          </w:p>
        </w:tc>
        <w:tc>
          <w:tcPr>
            <w:tcW w:w="2400" w:type="dxa"/>
            <w:vMerge w:val="restart"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2 694 600,00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898 200,00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898 200,00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898 200,00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22 315 188,00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7 438 396,00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7 438 396,00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7 438 396,00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 w:val="restart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280" w:type="dxa"/>
            <w:vMerge w:val="restart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D97675" w:rsidRPr="00D97675" w:rsidRDefault="00D97675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Финансовый отдел администрации Суражского района</w:t>
            </w: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D97675" w:rsidRPr="00D9767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620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588,00</w:t>
            </w:r>
          </w:p>
        </w:tc>
        <w:tc>
          <w:tcPr>
            <w:tcW w:w="1418" w:type="dxa"/>
          </w:tcPr>
          <w:p w:rsidR="00D97675" w:rsidRPr="00D9767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620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588,00</w:t>
            </w:r>
          </w:p>
        </w:tc>
        <w:tc>
          <w:tcPr>
            <w:tcW w:w="1418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 w:val="restart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D97675" w:rsidRPr="00D97675" w:rsidRDefault="00D97675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Финансовый отдел администрации Суражского района</w:t>
            </w:r>
          </w:p>
        </w:tc>
        <w:tc>
          <w:tcPr>
            <w:tcW w:w="1680" w:type="dxa"/>
            <w:vMerge w:val="restart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620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588,00</w:t>
            </w:r>
          </w:p>
        </w:tc>
        <w:tc>
          <w:tcPr>
            <w:tcW w:w="1418" w:type="dxa"/>
            <w:vMerge w:val="restart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  <w:vMerge w:val="restart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  <w:vMerge w:val="restart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Доля расходов бюджета Суражского района, формируемых в рамках муниципальных программ</w:t>
            </w: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просроченной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кредиторской задолженности по состоянию на конец отчетного периода в общем объеме расходов бюджета района</w:t>
            </w: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Обеспечение публикации в сети Интернет информации о системе управления муниципальными финансами Суражского района</w:t>
            </w: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D97675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620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588,00</w:t>
            </w:r>
          </w:p>
        </w:tc>
        <w:tc>
          <w:tcPr>
            <w:tcW w:w="1418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40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Финансовый отдел администрации Суражского района</w:t>
            </w: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6 000 000,00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240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поступления из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областного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2 694 000,00</w:t>
            </w:r>
          </w:p>
        </w:tc>
        <w:tc>
          <w:tcPr>
            <w:tcW w:w="1418" w:type="dxa"/>
          </w:tcPr>
          <w:p w:rsidR="007A1BF3" w:rsidRPr="00D97675" w:rsidRDefault="007A1BF3" w:rsidP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8 694 000,00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898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898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898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Финансовый отдел администрации Суражского района</w:t>
            </w: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 w:val="restart"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Финансовый отдел администрации Суражского района</w:t>
            </w: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400" w:type="dxa"/>
            <w:vMerge w:val="restart"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 xml:space="preserve">повышение уровня бюджетной обеспеченности </w:t>
            </w:r>
            <w:r w:rsidRPr="007A1BF3">
              <w:rPr>
                <w:rFonts w:ascii="Times New Roman" w:hAnsi="Times New Roman" w:cs="Times New Roman"/>
                <w:szCs w:val="22"/>
              </w:rPr>
              <w:lastRenderedPageBreak/>
              <w:t>поселений</w:t>
            </w: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400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Финансовый отдел администрации Суражского района</w:t>
            </w: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 w:val="restart"/>
          </w:tcPr>
          <w:p w:rsidR="007A1BF3" w:rsidRPr="007A1BF3" w:rsidRDefault="007A1BF3" w:rsidP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городского поселения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</w: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D97675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240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Pr="00DB0F21" w:rsidRDefault="007C5694">
      <w:pPr>
        <w:rPr>
          <w:sz w:val="24"/>
          <w:szCs w:val="24"/>
        </w:rPr>
      </w:pPr>
    </w:p>
    <w:sectPr w:rsidR="007C5694" w:rsidRPr="00DB0F21" w:rsidSect="00926D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1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1E5C6A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A1BF3"/>
    <w:rsid w:val="007C5694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26D4D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03CE1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97675"/>
    <w:rsid w:val="00DB0F21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E785A7C6C429687C764EF6D17739503E82B185541C06260AAEBFEF2CC5E1FC4AF60784E71B53JBP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2018-07-06T08:27:00Z</dcterms:created>
  <dcterms:modified xsi:type="dcterms:W3CDTF">2018-07-06T08:27:00Z</dcterms:modified>
</cp:coreProperties>
</file>