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C1" w:rsidRDefault="001643C1" w:rsidP="001643C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:rsidR="001643C1" w:rsidRDefault="001643C1" w:rsidP="001643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line id="_x0000_s1026" style="position:absolute;flip:y;z-index:251658240" from="-52.5pt,8pt" to="483.75pt,8pt" strokeweight="4.5pt">
            <v:stroke linestyle="thickThin"/>
          </v:line>
        </w:pict>
      </w:r>
    </w:p>
    <w:p w:rsidR="001643C1" w:rsidRDefault="001643C1" w:rsidP="001643C1">
      <w:pPr>
        <w:keepNext/>
        <w:spacing w:after="0" w:line="240" w:lineRule="auto"/>
        <w:outlineLvl w:val="0"/>
        <w:rPr>
          <w:rFonts w:ascii="Times New Roman" w:hAnsi="Times New Roman"/>
          <w:b/>
          <w:bCs/>
          <w:spacing w:val="60"/>
          <w:sz w:val="44"/>
          <w:szCs w:val="44"/>
        </w:rPr>
      </w:pPr>
      <w:r>
        <w:rPr>
          <w:rFonts w:ascii="Times New Roman" w:hAnsi="Times New Roman"/>
          <w:b/>
          <w:bCs/>
          <w:spacing w:val="60"/>
          <w:sz w:val="44"/>
          <w:szCs w:val="44"/>
        </w:rPr>
        <w:t xml:space="preserve">            ПОСТАНОВЛЕНИЕ </w:t>
      </w:r>
    </w:p>
    <w:p w:rsidR="001643C1" w:rsidRDefault="001643C1" w:rsidP="001643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643C1" w:rsidRDefault="001643C1" w:rsidP="001643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21 февраля 2024 года    №92 </w:t>
      </w:r>
    </w:p>
    <w:p w:rsidR="001643C1" w:rsidRDefault="001643C1" w:rsidP="001643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Сураж</w:t>
      </w:r>
    </w:p>
    <w:p w:rsidR="001643C1" w:rsidRDefault="001643C1" w:rsidP="001643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643C1" w:rsidRDefault="001643C1" w:rsidP="001643C1">
      <w:pPr>
        <w:spacing w:after="0" w:line="240" w:lineRule="auto"/>
        <w:ind w:right="425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>О предоставлении разрешения на  условно разрешенный вид использования земельного участка на территории Суражского городского поселения Суражского муниципального района Брянской области</w:t>
      </w:r>
    </w:p>
    <w:p w:rsidR="001643C1" w:rsidRDefault="001643C1" w:rsidP="001643C1">
      <w:pPr>
        <w:spacing w:after="0" w:line="240" w:lineRule="auto"/>
        <w:ind w:right="4252"/>
        <w:jc w:val="both"/>
        <w:rPr>
          <w:rFonts w:ascii="Times New Roman" w:hAnsi="Times New Roman"/>
          <w:bCs/>
          <w:sz w:val="28"/>
          <w:szCs w:val="28"/>
        </w:rPr>
      </w:pPr>
    </w:p>
    <w:p w:rsidR="001643C1" w:rsidRDefault="001643C1" w:rsidP="001643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 соответствии  с  Федеральным законом от 06.10.2003 года № 131-ФЗ «Об общих принципах организации местного самоуправления  в Российской Федерации», руководствуясь ст. 40 Градостроительного кодекса РФ,  ст. 12, 16 Правил землепользования и застройки МО «город Сураж», утвержденных Советом народных депутатов города Суража от 23.10.2015 года №76, на основании распоряжения главы города Суража № 3 от 25 января 2024 «О   назначении публичных слушаний по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вопросу предоставления разрешения на условно разрешенный вид использования земельного участка на территории Суражского городского поселения Суражского муниципального района Брянской области», рассмотрев заключение публичных слушаний 19.02.2024, администрация Суражского района</w:t>
      </w:r>
    </w:p>
    <w:p w:rsidR="001643C1" w:rsidRDefault="001643C1" w:rsidP="001643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643C1" w:rsidRDefault="001643C1" w:rsidP="001643C1">
      <w:pPr>
        <w:tabs>
          <w:tab w:val="left" w:pos="149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1643C1" w:rsidRDefault="001643C1" w:rsidP="001643C1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643C1" w:rsidRDefault="001643C1" w:rsidP="001643C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Предоставить разрешение  на  условно  разрешённый  вид использования «магазины» на образуемый земельный участок путём раздела земельного участка с кадастровым номером 32:25:0410121:35, площадью 73 кв.м., расположенного по адресу: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РФ, Брянская область, Суражский м. р-н.,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Суражское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г. п., г. Сураж, ул. Октябрьская, 6б.</w:t>
      </w:r>
      <w:proofErr w:type="gramEnd"/>
    </w:p>
    <w:p w:rsidR="001643C1" w:rsidRDefault="001643C1" w:rsidP="001643C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C1" w:rsidRDefault="001643C1" w:rsidP="001643C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строительства, ЖКХ, архитектуры, транспорта и связи администрации Суражского района (</w:t>
      </w:r>
      <w:proofErr w:type="spellStart"/>
      <w:r>
        <w:rPr>
          <w:rFonts w:ascii="Times New Roman" w:hAnsi="Times New Roman"/>
          <w:sz w:val="28"/>
          <w:szCs w:val="28"/>
        </w:rPr>
        <w:t>Васякиной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Н.Д) </w:t>
      </w:r>
      <w:proofErr w:type="gramStart"/>
      <w:r>
        <w:rPr>
          <w:rFonts w:ascii="Times New Roman" w:hAnsi="Times New Roman"/>
          <w:sz w:val="28"/>
          <w:szCs w:val="28"/>
        </w:rPr>
        <w:t>предоставить  заключение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 результатах публичных слушаний для  опубликования в информационно-аналитическом бюллетене  «Муниципальный вестник города Суража»  и размещения на официальном сайте администрации Суражского района в  информационно-телекоммуникационной сети «Интернет».</w:t>
      </w:r>
    </w:p>
    <w:p w:rsidR="001643C1" w:rsidRDefault="001643C1" w:rsidP="001643C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C1" w:rsidRDefault="001643C1" w:rsidP="001643C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правовой и организационно-кадровой работы администрации Суражского района (Котенок В.Г.) настоящее постановление:</w:t>
      </w:r>
    </w:p>
    <w:p w:rsidR="001643C1" w:rsidRDefault="001643C1" w:rsidP="001643C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довести до заинтересованных лиц под роспись;</w:t>
      </w:r>
    </w:p>
    <w:p w:rsidR="001643C1" w:rsidRDefault="001643C1" w:rsidP="001643C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опубликовать в информационно-аналитическом бюллетене «Муниципальный вестник города Суража»;</w:t>
      </w:r>
    </w:p>
    <w:p w:rsidR="001643C1" w:rsidRDefault="001643C1" w:rsidP="001643C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разместить на официальном сайте администрации Суражского района в информационно-телекоммуникационной сети «Интернет».</w:t>
      </w:r>
    </w:p>
    <w:p w:rsidR="001643C1" w:rsidRDefault="001643C1" w:rsidP="001643C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C1" w:rsidRDefault="001643C1" w:rsidP="001643C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1643C1" w:rsidRDefault="001643C1" w:rsidP="001643C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C1" w:rsidRDefault="001643C1" w:rsidP="001643C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Суражского района Толока С. В.</w:t>
      </w:r>
    </w:p>
    <w:p w:rsidR="001643C1" w:rsidRDefault="001643C1" w:rsidP="001643C1">
      <w:pPr>
        <w:tabs>
          <w:tab w:val="left" w:pos="6919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643C1" w:rsidRDefault="001643C1" w:rsidP="001643C1">
      <w:pPr>
        <w:tabs>
          <w:tab w:val="left" w:pos="6919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643C1" w:rsidRDefault="001643C1" w:rsidP="001643C1">
      <w:pPr>
        <w:tabs>
          <w:tab w:val="left" w:pos="6919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643C1" w:rsidRDefault="001643C1" w:rsidP="001643C1">
      <w:pPr>
        <w:tabs>
          <w:tab w:val="left" w:pos="6919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643C1" w:rsidRDefault="001643C1" w:rsidP="001643C1">
      <w:pPr>
        <w:tabs>
          <w:tab w:val="left" w:pos="691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администрации                                                     В. П. Риваненко</w:t>
      </w: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Суражского района</w:t>
      </w: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643C1" w:rsidRDefault="001643C1" w:rsidP="001643C1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Исп.:   </w:t>
      </w:r>
      <w:proofErr w:type="spellStart"/>
      <w:r>
        <w:rPr>
          <w:rFonts w:ascii="Times New Roman" w:hAnsi="Times New Roman"/>
          <w:bCs/>
          <w:i/>
          <w:sz w:val="18"/>
          <w:szCs w:val="18"/>
        </w:rPr>
        <w:t>Васякина</w:t>
      </w:r>
      <w:proofErr w:type="spellEnd"/>
      <w:r>
        <w:rPr>
          <w:rFonts w:ascii="Times New Roman" w:hAnsi="Times New Roman"/>
          <w:bCs/>
          <w:i/>
          <w:sz w:val="18"/>
          <w:szCs w:val="18"/>
        </w:rPr>
        <w:t xml:space="preserve"> Н.Д.</w:t>
      </w:r>
    </w:p>
    <w:p w:rsidR="00687FCB" w:rsidRDefault="001643C1" w:rsidP="001643C1">
      <w:pPr>
        <w:tabs>
          <w:tab w:val="left" w:pos="5442"/>
        </w:tabs>
        <w:spacing w:after="0" w:line="240" w:lineRule="auto"/>
        <w:ind w:left="5400" w:hanging="5400"/>
      </w:pPr>
      <w:r>
        <w:rPr>
          <w:rFonts w:ascii="Times New Roman" w:hAnsi="Times New Roman"/>
          <w:bCs/>
          <w:i/>
          <w:sz w:val="18"/>
          <w:szCs w:val="18"/>
        </w:rPr>
        <w:t xml:space="preserve">             2-14-70</w:t>
      </w:r>
    </w:p>
    <w:sectPr w:rsidR="00687FCB" w:rsidSect="0063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43C1"/>
    <w:rsid w:val="001643C1"/>
    <w:rsid w:val="004922C3"/>
    <w:rsid w:val="00551832"/>
    <w:rsid w:val="00634F5D"/>
    <w:rsid w:val="00687FCB"/>
    <w:rsid w:val="006D4C0F"/>
    <w:rsid w:val="00EE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643C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2165</Characters>
  <Application>Microsoft Office Word</Application>
  <DocSecurity>0</DocSecurity>
  <Lines>18</Lines>
  <Paragraphs>5</Paragraphs>
  <ScaleCrop>false</ScaleCrop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2024-02-26T08:21:00Z</dcterms:created>
  <dcterms:modified xsi:type="dcterms:W3CDTF">2024-02-26T08:22:00Z</dcterms:modified>
</cp:coreProperties>
</file>